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440" w:lineRule="exact"/>
        <w:jc w:val="center"/>
      </w:pPr>
      <w:r>
        <w:rPr>
          <w:rFonts w:ascii="Arial" w:hAnsi="Arial"/>
          <w:b/>
          <w:sz w:val="36"/>
        </w:rPr>
        <w:t>Qiao Sun</w:t>
      </w:r>
    </w:p>
    <w:p>
      <w:pPr>
        <w:spacing w:after="160" w:line="220" w:lineRule="exact"/>
        <w:jc w:val="center"/>
      </w:pPr>
      <w:r>
        <w:rPr>
          <w:rFonts w:ascii="Arial" w:hAnsi="Arial"/>
          <w:b w:val="0"/>
          <w:color w:val="45515C"/>
          <w:sz w:val="17"/>
        </w:rPr>
        <w:t>(+86) 17317700890 / (+1) 6172568632 / sqa24@mit.edu / github.com/qiaosungithub</w:t>
      </w:r>
    </w:p>
    <w:p>
      <w:pPr>
        <w:spacing w:before="220" w:after="60" w:line="240" w:lineRule="exact"/>
      </w:pPr>
      <w:r>
        <w:rPr>
          <w:rFonts w:ascii="Arial" w:hAnsi="Arial"/>
          <w:b/>
          <w:color w:val="1F4E79"/>
          <w:sz w:val="20"/>
        </w:rPr>
        <w:t>RESEARCH &amp; PROFESSIONAL EXPERIENCE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Undergraduate Researcher, He Vision Group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Sep 2024 - Present</w:t>
            </w:r>
          </w:p>
        </w:tc>
      </w:tr>
    </w:tbl>
    <w:p>
      <w:pPr>
        <w:spacing w:after="40" w:line="216" w:lineRule="exact"/>
      </w:pPr>
      <w:r>
        <w:rPr>
          <w:rFonts w:ascii="Arial" w:hAnsi="Arial"/>
          <w:b w:val="0"/>
          <w:color w:val="45515C"/>
          <w:sz w:val="17"/>
        </w:rPr>
        <w:t>Professor: Kaiming He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Work as a UROP student in He Vision Group on generative models, including diffusion and flow matching, normalizing flows, and fast image generation.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Collaborate with Hanhong Zhao, Zhicheng Jiang, Xianbang Wang, and Yiyang Lu on a unified direction for vision-language understanding and text-to-image generation.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Conduct large-scale experiments with JAX on TPUs and PyTorch on GPUs; build training, evaluation, and ablation pipelines for image generation models.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Serve as one of the group leads and TPU/GCP managers/admins, helping coordinate compute resources, access, and shared training infrastructure.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Quant Strategy Analyst Intern, Ubiquant Investment (Jiukun Quant)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Jun 20 - Aug 31, 2025</w:t>
            </w:r>
          </w:p>
        </w:tc>
      </w:tr>
    </w:tbl>
    <w:p>
      <w:pPr>
        <w:spacing w:after="40" w:line="216" w:lineRule="exact"/>
      </w:pPr>
      <w:r>
        <w:rPr>
          <w:rFonts w:ascii="Arial" w:hAnsi="Arial"/>
          <w:b w:val="0"/>
          <w:color w:val="45515C"/>
          <w:sz w:val="17"/>
        </w:rPr>
        <w:t>Quantitative research and strategy analysis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Researched quantitative strategy ideas and backtesting workflows with Python-based data analysis.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Evaluated factor robustness, risk and turnover characteristics, and strategy diagnostics through statistical tests and visualization.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Built reproducible research utilities for experiment tracking, factor validation, and portfolio-performance analysis.</w:t>
      </w:r>
    </w:p>
    <w:p>
      <w:pPr>
        <w:spacing w:before="220" w:after="60" w:line="240" w:lineRule="exact"/>
      </w:pPr>
      <w:r>
        <w:rPr>
          <w:rFonts w:ascii="Arial" w:hAnsi="Arial"/>
          <w:b/>
          <w:color w:val="1F4E79"/>
          <w:sz w:val="20"/>
        </w:rPr>
        <w:t>SELECTED PAPERS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Is Noise Conditioning Necessary for Denoising Generative Models?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2025</w:t>
            </w:r>
          </w:p>
        </w:tc>
      </w:tr>
    </w:tbl>
    <w:p>
      <w:pPr>
        <w:spacing w:after="40" w:line="216" w:lineRule="exact"/>
      </w:pPr>
      <w:r>
        <w:rPr>
          <w:rFonts w:ascii="Arial" w:hAnsi="Arial"/>
          <w:b w:val="0"/>
          <w:color w:val="45515C"/>
          <w:sz w:val="17"/>
        </w:rPr>
        <w:t>ICML 2025 poster; first author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Revisited the necessity of noise conditioning in diffusion and flow-matching models by reimplementing eight denoising generative models across multiple datasets.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Proposed uEDM, a noise-unconditional diffusion model with competitive performance, supported by theory that matches empirical behavior.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Bidirectional Normalizing Flow: From Data to Noise and Back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2025</w:t>
            </w:r>
          </w:p>
        </w:tc>
      </w:tr>
    </w:tbl>
    <w:p>
      <w:pPr>
        <w:spacing w:after="40" w:line="216" w:lineRule="exact"/>
      </w:pPr>
      <w:r>
        <w:rPr>
          <w:rFonts w:ascii="Arial" w:hAnsi="Arial"/>
          <w:b w:val="0"/>
          <w:color w:val="45515C"/>
          <w:sz w:val="17"/>
        </w:rPr>
        <w:t>CVPR Spotlight; project lead and first author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Revisited normalizing flows with a learned reverse map, eliminating explicit inverse-flow computation and slow autoregressive inference.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Guided reverse learning through hidden-state alignment, enabling single-evaluation NF-based generation with state-of-the-art results among NF methods.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One-step Latent-free Image Generation with Pixel Mean Flows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2026</w:t>
            </w:r>
          </w:p>
        </w:tc>
      </w:tr>
    </w:tbl>
    <w:p>
      <w:pPr>
        <w:spacing w:after="40" w:line="216" w:lineRule="exact"/>
      </w:pPr>
      <w:r>
        <w:rPr>
          <w:rFonts w:ascii="Arial" w:hAnsi="Arial"/>
          <w:b w:val="0"/>
          <w:color w:val="45515C"/>
          <w:sz w:val="17"/>
        </w:rPr>
        <w:t>ICML accepted; first author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Built a strong baseline for one-step, pixel-space, latent-free generation using MeanFlow with x-prediction.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Reported 2.22 FID on ImageNet 256 and 2.48 FID on ImageNet 512; open-source implementation at Lyy-iiis/pMF.</w:t>
      </w:r>
    </w:p>
    <w:p>
      <w:pPr>
        <w:spacing w:before="220" w:after="60" w:line="240" w:lineRule="exact"/>
      </w:pPr>
      <w:r>
        <w:rPr>
          <w:rFonts w:ascii="Arial" w:hAnsi="Arial"/>
          <w:b/>
          <w:color w:val="1F4E79"/>
          <w:sz w:val="20"/>
        </w:rPr>
        <w:t>COURSE PROJECTS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Fast Humanoid Loco-Manipulation via Flow Matching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2025</w:t>
            </w:r>
          </w:p>
        </w:tc>
      </w:tr>
    </w:tbl>
    <w:p>
      <w:pPr>
        <w:spacing w:after="40" w:line="216" w:lineRule="exact"/>
      </w:pPr>
      <w:r>
        <w:rPr>
          <w:rFonts w:ascii="Arial" w:hAnsi="Arial"/>
          <w:b w:val="0"/>
          <w:color w:val="45515C"/>
          <w:sz w:val="17"/>
        </w:rPr>
        <w:t>MIT 6.4210 course project; robotics manipulation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Reimplemented a BeyondMimic-style humanoid loco-manipulation pipeline with simulated data preparation, diffusion training, and post-hoc control guidance.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Replaced DDPM sampling with flow matching and demonstrated lower-latency control with 5 sampling steps.</w:t>
      </w:r>
    </w:p>
    <w:p>
      <w:pPr>
        <w:spacing w:before="220" w:after="60" w:line="240" w:lineRule="exact"/>
      </w:pPr>
      <w:r>
        <w:rPr>
          <w:rFonts w:ascii="Arial" w:hAnsi="Arial"/>
          <w:b/>
          <w:color w:val="1F4E79"/>
          <w:sz w:val="20"/>
        </w:rPr>
        <w:t>EDUCATION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Massachusetts Institute of Technology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Sep 2024 - Present</w:t>
            </w:r>
          </w:p>
        </w:tc>
      </w:tr>
    </w:tbl>
    <w:p>
      <w:pPr>
        <w:spacing w:after="40" w:line="216" w:lineRule="exact"/>
      </w:pPr>
      <w:r>
        <w:rPr>
          <w:rFonts w:ascii="Arial" w:hAnsi="Arial"/>
          <w:b w:val="0"/>
          <w:color w:val="45515C"/>
          <w:sz w:val="17"/>
        </w:rPr>
        <w:t>Undergraduate in Artificial Intelligence and Mathematics; expected graduation: 2028; GPA: 5.00/5.00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Tsinghua University, Institute for Interdisciplinary Information Sciences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Sep 2023 - Jul 2024</w:t>
            </w:r>
          </w:p>
        </w:tc>
      </w:tr>
    </w:tbl>
    <w:p>
      <w:pPr>
        <w:spacing w:after="40" w:line="216" w:lineRule="exact"/>
      </w:pPr>
      <w:r>
        <w:rPr>
          <w:rFonts w:ascii="Arial" w:hAnsi="Arial"/>
          <w:b w:val="0"/>
          <w:color w:val="45515C"/>
          <w:sz w:val="17"/>
        </w:rPr>
        <w:t>Pre-college student; GPA: 4.00/4.00</w:t>
      </w:r>
    </w:p>
    <w:p>
      <w:r>
        <w:br w:type="page"/>
      </w:r>
    </w:p>
    <w:p>
      <w:pPr>
        <w:spacing w:before="220" w:after="60" w:line="240" w:lineRule="exact"/>
      </w:pPr>
      <w:r>
        <w:rPr>
          <w:rFonts w:ascii="Arial" w:hAnsi="Arial"/>
          <w:b/>
          <w:color w:val="1F4E79"/>
          <w:sz w:val="20"/>
        </w:rPr>
        <w:t>CERTIFICATES &amp; HONORS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Top 17, 2025 Putnam Mathematical Competition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2025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2nd place, 2024 Putnam Mathematical Competition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2024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Gold Medal and 11th place, International Mathematical Olympiad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2023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Gold Medal and 1st place with perfect score, Chinese Mathematical Olympiad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2022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Excellent Award, Alibaba Global Mathematics Competition; top 70 among 50,000+ participants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2022-2024</w:t>
            </w:r>
          </w:p>
        </w:tc>
      </w:tr>
    </w:tbl>
    <w:p>
      <w:pPr>
        <w:spacing w:before="220" w:after="60" w:line="240" w:lineRule="exact"/>
      </w:pPr>
      <w:r>
        <w:rPr>
          <w:rFonts w:ascii="Arial" w:hAnsi="Arial"/>
          <w:b/>
          <w:color w:val="1F4E79"/>
          <w:sz w:val="20"/>
        </w:rPr>
        <w:t>SKILLS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Programming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</w:r>
          </w:p>
        </w:tc>
      </w:tr>
    </w:tbl>
    <w:p>
      <w:pPr>
        <w:spacing w:after="40" w:line="216" w:lineRule="exact"/>
      </w:pPr>
      <w:r>
        <w:rPr>
          <w:rFonts w:ascii="Arial" w:hAnsi="Arial"/>
          <w:b w:val="0"/>
          <w:color w:val="45515C"/>
          <w:sz w:val="17"/>
        </w:rPr>
        <w:t>Python, C, PyTorch, JAX, GPU/TPU training and evaluation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Languages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</w:r>
          </w:p>
        </w:tc>
      </w:tr>
    </w:tbl>
    <w:p>
      <w:pPr>
        <w:spacing w:after="40" w:line="216" w:lineRule="exact"/>
      </w:pPr>
      <w:r>
        <w:rPr>
          <w:rFonts w:ascii="Arial" w:hAnsi="Arial"/>
          <w:b w:val="0"/>
          <w:color w:val="45515C"/>
          <w:sz w:val="17"/>
        </w:rPr>
        <w:t>Mandarin (native), English (fluent)</w:t>
      </w:r>
    </w:p>
    <w:sectPr w:rsidR="00FC693F" w:rsidRPr="0006063C" w:rsidSect="00034616">
      <w:pgSz w:w="12240" w:h="15840"/>
      <w:pgMar w:top="749" w:right="835" w:bottom="806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