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rial" w:hAnsi="Arial"/>
          <w:b/>
          <w:sz w:val="36"/>
        </w:rPr>
        <w:t>Qiao Sun</w:t>
      </w:r>
    </w:p>
    <w:p>
      <w:pPr>
        <w:spacing w:after="100"/>
        <w:jc w:val="center"/>
      </w:pPr>
      <w:r>
        <w:rPr>
          <w:rFonts w:ascii="Arial" w:hAnsi="Arial"/>
          <w:b w:val="0"/>
          <w:color w:val="45515C"/>
          <w:sz w:val="17"/>
        </w:rPr>
        <w:t>(+86) 17317700890 / (+1) 6172568632 / sqa24@mit.edu / github.com/qiaosungithub</w:t>
      </w:r>
    </w:p>
    <w:p>
      <w:pPr>
        <w:spacing w:before="140" w:after="20"/>
      </w:pPr>
      <w:r>
        <w:rPr>
          <w:rFonts w:ascii="Arial" w:hAnsi="Arial"/>
          <w:b/>
          <w:color w:val="1F4E79"/>
          <w:sz w:val="19"/>
        </w:rPr>
        <w:t>RESEARCH &amp; PROFESSIONAL EXPERIENCE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5429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Undergraduate Researcher, MIT Computer Vision Group</w:t>
            </w:r>
          </w:p>
        </w:tc>
        <w:tc>
          <w:tcPr>
            <w:tcW w:type="dxa" w:w="5429"/>
          </w:tcPr>
          <w:p>
            <w:pPr>
              <w:spacing w:after="0"/>
              <w:jc w:val="right"/>
            </w:pPr>
            <w:r>
              <w:rPr>
                <w:rFonts w:ascii="Arial" w:hAnsi="Arial"/>
                <w:b w:val="0"/>
                <w:color w:val="45515C"/>
                <w:sz w:val="16"/>
              </w:rPr>
              <w:t>Sep 2024 - Present</w:t>
            </w:r>
          </w:p>
        </w:tc>
      </w:tr>
    </w:tbl>
    <w:p>
      <w:pPr>
        <w:spacing w:after="0"/>
      </w:pPr>
      <w:r>
        <w:rPr>
          <w:rFonts w:ascii="Arial" w:hAnsi="Arial"/>
          <w:b w:val="0"/>
          <w:color w:val="45515C"/>
          <w:sz w:val="16"/>
        </w:rPr>
        <w:t>Professor: Kaiming He</w:t>
      </w:r>
    </w:p>
    <w:p>
      <w:pPr>
        <w:pStyle w:val="ListBullet"/>
        <w:spacing w:after="0"/>
        <w:ind w:left="259" w:hanging="144"/>
      </w:pPr>
      <w:r>
        <w:rPr>
          <w:rFonts w:ascii="Arial" w:hAnsi="Arial"/>
          <w:b w:val="0"/>
          <w:sz w:val="16"/>
        </w:rPr>
        <w:t>Work as a UROP student in Prof. Kaiming He's computer vision group on generative models, including diffusion and flow matching, normalizing flows, and fast image generation.</w:t>
      </w:r>
    </w:p>
    <w:p>
      <w:pPr>
        <w:pStyle w:val="ListBullet"/>
        <w:spacing w:after="0"/>
        <w:ind w:left="259" w:hanging="144"/>
      </w:pPr>
      <w:r>
        <w:rPr>
          <w:rFonts w:ascii="Arial" w:hAnsi="Arial"/>
          <w:b w:val="0"/>
          <w:sz w:val="16"/>
        </w:rPr>
        <w:t>Collaborate with Hanhong Zhao, Zhicheng Jiang, Xianbang Wang, and Yiyang Lu on a unified direction for vision-language understanding and text-to-image generation.</w:t>
      </w:r>
    </w:p>
    <w:p>
      <w:pPr>
        <w:pStyle w:val="ListBullet"/>
        <w:spacing w:after="0"/>
        <w:ind w:left="259" w:hanging="144"/>
      </w:pPr>
      <w:r>
        <w:rPr>
          <w:rFonts w:ascii="Arial" w:hAnsi="Arial"/>
          <w:b w:val="0"/>
          <w:sz w:val="16"/>
        </w:rPr>
        <w:t>Conduct large-scale experiments with JAX on TPUs and PyTorch on GPUs; build training, evaluation, and ablation pipelines for image generation models.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5429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Quant Strategy Analyst Intern, Ubiquant Investment (Jiukun Quant)</w:t>
            </w:r>
          </w:p>
        </w:tc>
        <w:tc>
          <w:tcPr>
            <w:tcW w:type="dxa" w:w="5429"/>
          </w:tcPr>
          <w:p>
            <w:pPr>
              <w:spacing w:after="0"/>
              <w:jc w:val="right"/>
            </w:pPr>
            <w:r>
              <w:rPr>
                <w:rFonts w:ascii="Arial" w:hAnsi="Arial"/>
                <w:b w:val="0"/>
                <w:color w:val="45515C"/>
                <w:sz w:val="16"/>
              </w:rPr>
              <w:t>Jun 20 - Aug 31, 2025</w:t>
            </w:r>
          </w:p>
        </w:tc>
      </w:tr>
    </w:tbl>
    <w:p>
      <w:pPr>
        <w:spacing w:after="0"/>
      </w:pPr>
      <w:r>
        <w:rPr>
          <w:rFonts w:ascii="Arial" w:hAnsi="Arial"/>
          <w:b w:val="0"/>
          <w:color w:val="45515C"/>
          <w:sz w:val="16"/>
        </w:rPr>
        <w:t>Quantitative research and strategy analysis</w:t>
      </w:r>
    </w:p>
    <w:p>
      <w:pPr>
        <w:pStyle w:val="ListBullet"/>
        <w:spacing w:after="0"/>
        <w:ind w:left="259" w:hanging="144"/>
      </w:pPr>
      <w:r>
        <w:rPr>
          <w:rFonts w:ascii="Arial" w:hAnsi="Arial"/>
          <w:b w:val="0"/>
          <w:sz w:val="16"/>
        </w:rPr>
        <w:t>Researched quantitative strategy ideas and backtesting workflows with Python-based data analysis.</w:t>
      </w:r>
    </w:p>
    <w:p>
      <w:pPr>
        <w:pStyle w:val="ListBullet"/>
        <w:spacing w:after="0"/>
        <w:ind w:left="259" w:hanging="144"/>
      </w:pPr>
      <w:r>
        <w:rPr>
          <w:rFonts w:ascii="Arial" w:hAnsi="Arial"/>
          <w:b w:val="0"/>
          <w:sz w:val="16"/>
        </w:rPr>
        <w:t>Evaluated factor robustness, risk and turnover characteristics, and strategy diagnostics through statistical tests and visualization.</w:t>
      </w:r>
    </w:p>
    <w:p>
      <w:pPr>
        <w:pStyle w:val="ListBullet"/>
        <w:spacing w:after="0"/>
        <w:ind w:left="259" w:hanging="144"/>
      </w:pPr>
      <w:r>
        <w:rPr>
          <w:rFonts w:ascii="Arial" w:hAnsi="Arial"/>
          <w:b w:val="0"/>
          <w:sz w:val="16"/>
        </w:rPr>
        <w:t>Built reproducible research utilities for experiment tracking, factor validation, and portfolio-performance analysis.</w:t>
      </w:r>
    </w:p>
    <w:p>
      <w:pPr>
        <w:spacing w:before="140" w:after="20"/>
      </w:pPr>
      <w:r>
        <w:rPr>
          <w:rFonts w:ascii="Arial" w:hAnsi="Arial"/>
          <w:b/>
          <w:color w:val="1F4E79"/>
          <w:sz w:val="19"/>
        </w:rPr>
        <w:t>SELECTED RESEARCH PROJECTS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5429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Is Noise Conditioning Necessary for Denoising Generative Models?</w:t>
            </w:r>
          </w:p>
        </w:tc>
        <w:tc>
          <w:tcPr>
            <w:tcW w:type="dxa" w:w="5429"/>
          </w:tcPr>
          <w:p>
            <w:pPr>
              <w:spacing w:after="0"/>
              <w:jc w:val="right"/>
            </w:pPr>
            <w:r>
              <w:rPr>
                <w:rFonts w:ascii="Arial" w:hAnsi="Arial"/>
                <w:b w:val="0"/>
                <w:color w:val="45515C"/>
                <w:sz w:val="16"/>
              </w:rPr>
              <w:t>2025</w:t>
            </w:r>
          </w:p>
        </w:tc>
      </w:tr>
    </w:tbl>
    <w:p>
      <w:pPr>
        <w:spacing w:after="0"/>
      </w:pPr>
      <w:r>
        <w:rPr>
          <w:rFonts w:ascii="Arial" w:hAnsi="Arial"/>
          <w:b w:val="0"/>
          <w:color w:val="45515C"/>
          <w:sz w:val="16"/>
        </w:rPr>
        <w:t>ICML 2025 poster; first author</w:t>
      </w:r>
    </w:p>
    <w:p>
      <w:pPr>
        <w:pStyle w:val="ListBullet"/>
        <w:spacing w:after="0"/>
        <w:ind w:left="259" w:hanging="144"/>
      </w:pPr>
      <w:r>
        <w:rPr>
          <w:rFonts w:ascii="Arial" w:hAnsi="Arial"/>
          <w:b w:val="0"/>
          <w:sz w:val="16"/>
        </w:rPr>
        <w:t>Revisited the necessity of noise conditioning in diffusion and flow-matching models by reimplementing eight denoising generative models across multiple datasets.</w:t>
      </w:r>
    </w:p>
    <w:p>
      <w:pPr>
        <w:pStyle w:val="ListBullet"/>
        <w:spacing w:after="0"/>
        <w:ind w:left="259" w:hanging="144"/>
      </w:pPr>
      <w:r>
        <w:rPr>
          <w:rFonts w:ascii="Arial" w:hAnsi="Arial"/>
          <w:b w:val="0"/>
          <w:sz w:val="16"/>
        </w:rPr>
        <w:t>Proposed uEDM, a noise-unconditional diffusion model with competitive performance, supported by theory that matches empirical behavior.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5429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Bidirectional Normalizing Flow: From Data to Noise and Back</w:t>
            </w:r>
          </w:p>
        </w:tc>
        <w:tc>
          <w:tcPr>
            <w:tcW w:type="dxa" w:w="5429"/>
          </w:tcPr>
          <w:p>
            <w:pPr>
              <w:spacing w:after="0"/>
              <w:jc w:val="right"/>
            </w:pPr>
            <w:r>
              <w:rPr>
                <w:rFonts w:ascii="Arial" w:hAnsi="Arial"/>
                <w:b w:val="0"/>
                <w:color w:val="45515C"/>
                <w:sz w:val="16"/>
              </w:rPr>
              <w:t>2025</w:t>
            </w:r>
          </w:p>
        </w:tc>
      </w:tr>
    </w:tbl>
    <w:p>
      <w:pPr>
        <w:spacing w:after="0"/>
      </w:pPr>
      <w:r>
        <w:rPr>
          <w:rFonts w:ascii="Arial" w:hAnsi="Arial"/>
          <w:b w:val="0"/>
          <w:color w:val="45515C"/>
          <w:sz w:val="16"/>
        </w:rPr>
        <w:t>Project lead and first author</w:t>
      </w:r>
    </w:p>
    <w:p>
      <w:pPr>
        <w:pStyle w:val="ListBullet"/>
        <w:spacing w:after="0"/>
        <w:ind w:left="259" w:hanging="144"/>
      </w:pPr>
      <w:r>
        <w:rPr>
          <w:rFonts w:ascii="Arial" w:hAnsi="Arial"/>
          <w:b w:val="0"/>
          <w:sz w:val="16"/>
        </w:rPr>
        <w:t>Revisited normalizing flows with a learned reverse map, eliminating explicit inverse-flow computation and slow autoregressive inference.</w:t>
      </w:r>
    </w:p>
    <w:p>
      <w:pPr>
        <w:pStyle w:val="ListBullet"/>
        <w:spacing w:after="0"/>
        <w:ind w:left="259" w:hanging="144"/>
      </w:pPr>
      <w:r>
        <w:rPr>
          <w:rFonts w:ascii="Arial" w:hAnsi="Arial"/>
          <w:b w:val="0"/>
          <w:sz w:val="16"/>
        </w:rPr>
        <w:t>Guided reverse learning through hidden-state alignment, enabling single-evaluation NF-based generation with state-of-the-art results among NF methods.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5429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One-step Latent-free Image Generation with Pixel Mean Flows</w:t>
            </w:r>
          </w:p>
        </w:tc>
        <w:tc>
          <w:tcPr>
            <w:tcW w:type="dxa" w:w="5429"/>
          </w:tcPr>
          <w:p>
            <w:pPr>
              <w:spacing w:after="0"/>
              <w:jc w:val="right"/>
            </w:pPr>
            <w:r>
              <w:rPr>
                <w:rFonts w:ascii="Arial" w:hAnsi="Arial"/>
                <w:b w:val="0"/>
                <w:color w:val="45515C"/>
                <w:sz w:val="16"/>
              </w:rPr>
              <w:t>2026</w:t>
            </w:r>
          </w:p>
        </w:tc>
      </w:tr>
    </w:tbl>
    <w:p>
      <w:pPr>
        <w:spacing w:after="0"/>
      </w:pPr>
      <w:r>
        <w:rPr>
          <w:rFonts w:ascii="Arial" w:hAnsi="Arial"/>
          <w:b w:val="0"/>
          <w:color w:val="45515C"/>
          <w:sz w:val="16"/>
        </w:rPr>
        <w:t>First author</w:t>
      </w:r>
    </w:p>
    <w:p>
      <w:pPr>
        <w:pStyle w:val="ListBullet"/>
        <w:spacing w:after="0"/>
        <w:ind w:left="259" w:hanging="144"/>
      </w:pPr>
      <w:r>
        <w:rPr>
          <w:rFonts w:ascii="Arial" w:hAnsi="Arial"/>
          <w:b w:val="0"/>
          <w:sz w:val="16"/>
        </w:rPr>
        <w:t>Built a strong baseline for one-step, pixel-space, latent-free generation using MeanFlow with x-prediction.</w:t>
      </w:r>
    </w:p>
    <w:p>
      <w:pPr>
        <w:pStyle w:val="ListBullet"/>
        <w:spacing w:after="0"/>
        <w:ind w:left="259" w:hanging="144"/>
      </w:pPr>
      <w:r>
        <w:rPr>
          <w:rFonts w:ascii="Arial" w:hAnsi="Arial"/>
          <w:b w:val="0"/>
          <w:sz w:val="16"/>
        </w:rPr>
        <w:t>Reported 2.22 FID on ImageNet 256 and 2.48 FID on ImageNet 512; open-source implementation at Lyy-iiis/pMF.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5429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Fast Humanoid Loco-Manipulation via Flow Matching</w:t>
            </w:r>
          </w:p>
        </w:tc>
        <w:tc>
          <w:tcPr>
            <w:tcW w:type="dxa" w:w="5429"/>
          </w:tcPr>
          <w:p>
            <w:pPr>
              <w:spacing w:after="0"/>
              <w:jc w:val="right"/>
            </w:pPr>
            <w:r>
              <w:rPr>
                <w:rFonts w:ascii="Arial" w:hAnsi="Arial"/>
                <w:b w:val="0"/>
                <w:color w:val="45515C"/>
                <w:sz w:val="16"/>
              </w:rPr>
              <w:t>2025</w:t>
            </w:r>
          </w:p>
        </w:tc>
      </w:tr>
    </w:tbl>
    <w:p>
      <w:pPr>
        <w:spacing w:after="0"/>
      </w:pPr>
      <w:r>
        <w:rPr>
          <w:rFonts w:ascii="Arial" w:hAnsi="Arial"/>
          <w:b w:val="0"/>
          <w:color w:val="45515C"/>
          <w:sz w:val="16"/>
        </w:rPr>
        <w:t>MIT 6.4210 course project; robotics manipulation</w:t>
      </w:r>
    </w:p>
    <w:p>
      <w:pPr>
        <w:pStyle w:val="ListBullet"/>
        <w:spacing w:after="0"/>
        <w:ind w:left="259" w:hanging="144"/>
      </w:pPr>
      <w:r>
        <w:rPr>
          <w:rFonts w:ascii="Arial" w:hAnsi="Arial"/>
          <w:b w:val="0"/>
          <w:sz w:val="16"/>
        </w:rPr>
        <w:t>Reimplemented a BeyondMimic-style humanoid loco-manipulation pipeline with simulated data preparation, diffusion training, and post-hoc control guidance.</w:t>
      </w:r>
    </w:p>
    <w:p>
      <w:pPr>
        <w:pStyle w:val="ListBullet"/>
        <w:spacing w:after="0"/>
        <w:ind w:left="259" w:hanging="144"/>
      </w:pPr>
      <w:r>
        <w:rPr>
          <w:rFonts w:ascii="Arial" w:hAnsi="Arial"/>
          <w:b w:val="0"/>
          <w:sz w:val="16"/>
        </w:rPr>
        <w:t>Replaced DDPM sampling with flow matching and demonstrated lower-latency control with 5 sampling steps.</w:t>
      </w:r>
    </w:p>
    <w:p>
      <w:pPr>
        <w:spacing w:before="140" w:after="20"/>
      </w:pPr>
      <w:r>
        <w:rPr>
          <w:rFonts w:ascii="Arial" w:hAnsi="Arial"/>
          <w:b/>
          <w:color w:val="1F4E79"/>
          <w:sz w:val="19"/>
        </w:rPr>
        <w:t>EDUCATION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5429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Massachusetts Institute of Technology</w:t>
            </w:r>
          </w:p>
        </w:tc>
        <w:tc>
          <w:tcPr>
            <w:tcW w:type="dxa" w:w="5429"/>
          </w:tcPr>
          <w:p>
            <w:pPr>
              <w:spacing w:after="0"/>
              <w:jc w:val="right"/>
            </w:pPr>
            <w:r>
              <w:rPr>
                <w:rFonts w:ascii="Arial" w:hAnsi="Arial"/>
                <w:b w:val="0"/>
                <w:color w:val="45515C"/>
                <w:sz w:val="16"/>
              </w:rPr>
              <w:t>Sep 2024 - Present</w:t>
            </w:r>
          </w:p>
        </w:tc>
      </w:tr>
    </w:tbl>
    <w:p>
      <w:pPr>
        <w:spacing w:after="0"/>
      </w:pPr>
      <w:r>
        <w:rPr>
          <w:rFonts w:ascii="Arial" w:hAnsi="Arial"/>
          <w:b w:val="0"/>
          <w:color w:val="45515C"/>
          <w:sz w:val="16"/>
        </w:rPr>
        <w:t>Undergraduate in Artificial Intelligence and Mathematics; expected graduation: 2028; GPA: 5.00/5.00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5429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Tsinghua University, Institute for Interdisciplinary Information Sciences</w:t>
            </w:r>
          </w:p>
        </w:tc>
        <w:tc>
          <w:tcPr>
            <w:tcW w:type="dxa" w:w="5429"/>
          </w:tcPr>
          <w:p>
            <w:pPr>
              <w:spacing w:after="0"/>
              <w:jc w:val="right"/>
            </w:pPr>
            <w:r>
              <w:rPr>
                <w:rFonts w:ascii="Arial" w:hAnsi="Arial"/>
                <w:b w:val="0"/>
                <w:color w:val="45515C"/>
                <w:sz w:val="16"/>
              </w:rPr>
              <w:t>Sep 2023 - Jul 2024</w:t>
            </w:r>
          </w:p>
        </w:tc>
      </w:tr>
    </w:tbl>
    <w:p>
      <w:pPr>
        <w:spacing w:after="0"/>
      </w:pPr>
      <w:r>
        <w:rPr>
          <w:rFonts w:ascii="Arial" w:hAnsi="Arial"/>
          <w:b w:val="0"/>
          <w:color w:val="45515C"/>
          <w:sz w:val="16"/>
        </w:rPr>
        <w:t>Pre-college student; GPA: 4.00/4.00</w:t>
      </w:r>
    </w:p>
    <w:p>
      <w:pPr>
        <w:spacing w:before="140" w:after="20"/>
      </w:pPr>
      <w:r>
        <w:rPr>
          <w:rFonts w:ascii="Arial" w:hAnsi="Arial"/>
          <w:b/>
          <w:color w:val="1F4E79"/>
          <w:sz w:val="19"/>
        </w:rPr>
        <w:t>CERTIFICATES &amp; HONORS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5429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2nd place, 2024 Putnam Mathematical Competition</w:t>
            </w:r>
          </w:p>
        </w:tc>
        <w:tc>
          <w:tcPr>
            <w:tcW w:type="dxa" w:w="5429"/>
          </w:tcPr>
          <w:p>
            <w:pPr>
              <w:spacing w:after="0"/>
              <w:jc w:val="right"/>
            </w:pPr>
            <w:r>
              <w:rPr>
                <w:rFonts w:ascii="Arial" w:hAnsi="Arial"/>
                <w:b w:val="0"/>
                <w:color w:val="45515C"/>
                <w:sz w:val="16"/>
              </w:rPr>
              <w:t>2024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5429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Gold Medal and 11th place, International Mathematical Olympiad</w:t>
            </w:r>
          </w:p>
        </w:tc>
        <w:tc>
          <w:tcPr>
            <w:tcW w:type="dxa" w:w="5429"/>
          </w:tcPr>
          <w:p>
            <w:pPr>
              <w:spacing w:after="0"/>
              <w:jc w:val="right"/>
            </w:pPr>
            <w:r>
              <w:rPr>
                <w:rFonts w:ascii="Arial" w:hAnsi="Arial"/>
                <w:b w:val="0"/>
                <w:color w:val="45515C"/>
                <w:sz w:val="16"/>
              </w:rPr>
              <w:t>2023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5429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Gold Medal and 1st place with perfect score, Chinese Mathematical Olympiad</w:t>
            </w:r>
          </w:p>
        </w:tc>
        <w:tc>
          <w:tcPr>
            <w:tcW w:type="dxa" w:w="5429"/>
          </w:tcPr>
          <w:p>
            <w:pPr>
              <w:spacing w:after="0"/>
              <w:jc w:val="right"/>
            </w:pPr>
            <w:r>
              <w:rPr>
                <w:rFonts w:ascii="Arial" w:hAnsi="Arial"/>
                <w:b w:val="0"/>
                <w:color w:val="45515C"/>
                <w:sz w:val="16"/>
              </w:rPr>
              <w:t>2022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5429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Excellent Award, Alibaba Global Mathematics Competition; top 70 among 50,000+ participants</w:t>
            </w:r>
          </w:p>
        </w:tc>
        <w:tc>
          <w:tcPr>
            <w:tcW w:type="dxa" w:w="5429"/>
          </w:tcPr>
          <w:p>
            <w:pPr>
              <w:spacing w:after="0"/>
              <w:jc w:val="right"/>
            </w:pPr>
            <w:r>
              <w:rPr>
                <w:rFonts w:ascii="Arial" w:hAnsi="Arial"/>
                <w:b w:val="0"/>
                <w:color w:val="45515C"/>
                <w:sz w:val="16"/>
              </w:rPr>
              <w:t>2022-2024</w:t>
            </w:r>
          </w:p>
        </w:tc>
      </w:tr>
    </w:tbl>
    <w:p>
      <w:pPr>
        <w:spacing w:before="140" w:after="20"/>
      </w:pPr>
      <w:r>
        <w:rPr>
          <w:rFonts w:ascii="Arial" w:hAnsi="Arial"/>
          <w:b/>
          <w:color w:val="1F4E79"/>
          <w:sz w:val="19"/>
        </w:rPr>
        <w:t>SKILLS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5429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Programming</w:t>
            </w:r>
          </w:p>
        </w:tc>
        <w:tc>
          <w:tcPr>
            <w:tcW w:type="dxa" w:w="5429"/>
          </w:tcPr>
          <w:p>
            <w:pPr>
              <w:spacing w:after="0"/>
              <w:jc w:val="right"/>
            </w:pPr>
            <w:r>
              <w:rPr>
                <w:rFonts w:ascii="Arial" w:hAnsi="Arial"/>
                <w:b w:val="0"/>
                <w:color w:val="45515C"/>
                <w:sz w:val="16"/>
              </w:rPr>
            </w:r>
          </w:p>
        </w:tc>
      </w:tr>
    </w:tbl>
    <w:p>
      <w:pPr>
        <w:spacing w:after="0"/>
      </w:pPr>
      <w:r>
        <w:rPr>
          <w:rFonts w:ascii="Arial" w:hAnsi="Arial"/>
          <w:b w:val="0"/>
          <w:color w:val="45515C"/>
          <w:sz w:val="16"/>
        </w:rPr>
        <w:t>Python, C, PyTorch, JAX, GPU/TPU training and evaluation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5429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Languages</w:t>
            </w:r>
          </w:p>
        </w:tc>
        <w:tc>
          <w:tcPr>
            <w:tcW w:type="dxa" w:w="5429"/>
          </w:tcPr>
          <w:p>
            <w:pPr>
              <w:spacing w:after="0"/>
              <w:jc w:val="right"/>
            </w:pPr>
            <w:r>
              <w:rPr>
                <w:rFonts w:ascii="Arial" w:hAnsi="Arial"/>
                <w:b w:val="0"/>
                <w:color w:val="45515C"/>
                <w:sz w:val="16"/>
              </w:rPr>
            </w:r>
          </w:p>
        </w:tc>
      </w:tr>
    </w:tbl>
    <w:p>
      <w:pPr>
        <w:spacing w:after="0"/>
      </w:pPr>
      <w:r>
        <w:rPr>
          <w:rFonts w:ascii="Arial" w:hAnsi="Arial"/>
          <w:b w:val="0"/>
          <w:color w:val="45515C"/>
          <w:sz w:val="16"/>
        </w:rPr>
        <w:t>Mandarin (native), English (fluent)</w:t>
      </w:r>
    </w:p>
    <w:sectPr w:rsidR="00FC693F" w:rsidRPr="0006063C" w:rsidSect="00034616">
      <w:pgSz w:w="12240" w:h="15840"/>
      <w:pgMar w:top="605" w:right="691" w:bottom="648" w:left="6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