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440" w:lineRule="exact"/>
        <w:jc w:val="center"/>
      </w:pPr>
      <w:r>
        <w:rPr>
          <w:rFonts w:ascii="Arial" w:hAnsi="Arial"/>
          <w:b/>
          <w:sz w:val="36"/>
        </w:rPr>
        <w:t>Qiao Sun</w:t>
      </w:r>
    </w:p>
    <w:p>
      <w:pPr>
        <w:spacing w:after="160" w:line="220" w:lineRule="exact"/>
        <w:jc w:val="center"/>
      </w:pPr>
      <w:r>
        <w:rPr>
          <w:rFonts w:ascii="Arial" w:hAnsi="Arial"/>
          <w:b w:val="0"/>
          <w:color w:val="45515C"/>
          <w:sz w:val="17"/>
        </w:rPr>
        <w:t>(+86) 17317700890 / (+1) 6172568632 / sqa24@mit.edu / github.com/qiaosungithub</w:t>
      </w:r>
    </w:p>
    <w:p>
      <w:pPr>
        <w:spacing w:before="220" w:after="60" w:line="240" w:lineRule="exact"/>
      </w:pPr>
      <w:r>
        <w:rPr>
          <w:rFonts w:ascii="Arial" w:hAnsi="Arial"/>
          <w:b/>
          <w:color w:val="1F4E79"/>
          <w:sz w:val="20"/>
        </w:rPr>
        <w:t>RESEARCH &amp; PROFESSIONAL EXPERIENCE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pPr>
              <w:spacing w:after="20" w:line="230" w:lineRule="exact"/>
            </w:pPr>
            <w:r>
              <w:rPr>
                <w:rFonts w:ascii="Arial" w:hAnsi="Arial"/>
                <w:b/>
                <w:sz w:val="18"/>
              </w:rPr>
              <w:t>Undergraduate Researcher, He Vision Group</w:t>
            </w:r>
          </w:p>
        </w:tc>
        <w:tc>
          <w:tcPr>
            <w:tcW w:type="dxa" w:w="5285"/>
          </w:tcPr>
          <w:p>
            <w:pPr>
              <w:spacing w:after="20" w:line="230" w:lineRule="exact"/>
              <w:jc w:val="right"/>
            </w:pPr>
            <w:r>
              <w:rPr>
                <w:rFonts w:ascii="Arial" w:hAnsi="Arial"/>
                <w:b w:val="0"/>
                <w:color w:val="45515C"/>
                <w:sz w:val="17"/>
              </w:rPr>
              <w:t>Sep 2024 - Present</w:t>
            </w:r>
          </w:p>
        </w:tc>
      </w:tr>
    </w:tbl>
    <w:p>
      <w:pPr>
        <w:spacing w:after="40" w:line="216" w:lineRule="exact"/>
      </w:pPr>
      <w:r>
        <w:rPr>
          <w:rFonts w:ascii="Arial" w:hAnsi="Arial"/>
          <w:b w:val="0"/>
          <w:color w:val="45515C"/>
          <w:sz w:val="17"/>
        </w:rPr>
        <w:t>Professor: Kaiming He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Work as a UROP student in He Vision Group on generative models, including diffusion and flow matching, normalizing flows, and fast image generation.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Collaborate with Hanhong Zhao, Zhicheng Jiang, Xianbang Wang, and Yiyang Lu on a unified direction for vision-language understanding and text-to-image generation.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Conduct large-scale experiments with JAX on TPUs and PyTorch on GPUs; build training, evaluation, and ablation pipelines for image generation models.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Serve as one of the group leads and TPU/GCP managers/admins, helping coordinate compute resources, access, and shared training infrastructure.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pPr>
              <w:spacing w:after="20" w:line="230" w:lineRule="exact"/>
            </w:pPr>
            <w:r>
              <w:rPr>
                <w:rFonts w:ascii="Arial" w:hAnsi="Arial"/>
                <w:b/>
                <w:sz w:val="18"/>
              </w:rPr>
              <w:t>Quant Strategy Analyst Intern, Ubiquant Investment (Jiukun Quant)</w:t>
            </w:r>
          </w:p>
        </w:tc>
        <w:tc>
          <w:tcPr>
            <w:tcW w:type="dxa" w:w="5285"/>
          </w:tcPr>
          <w:p>
            <w:pPr>
              <w:spacing w:after="20" w:line="230" w:lineRule="exact"/>
              <w:jc w:val="right"/>
            </w:pPr>
            <w:r>
              <w:rPr>
                <w:rFonts w:ascii="Arial" w:hAnsi="Arial"/>
                <w:b w:val="0"/>
                <w:color w:val="45515C"/>
                <w:sz w:val="17"/>
              </w:rPr>
              <w:t>Jun 20 - Aug 31, 2025</w:t>
            </w:r>
          </w:p>
        </w:tc>
      </w:tr>
    </w:tbl>
    <w:p>
      <w:pPr>
        <w:spacing w:after="40" w:line="216" w:lineRule="exact"/>
      </w:pPr>
      <w:r>
        <w:rPr>
          <w:rFonts w:ascii="Arial" w:hAnsi="Arial"/>
          <w:b w:val="0"/>
          <w:color w:val="45515C"/>
          <w:sz w:val="17"/>
        </w:rPr>
        <w:t>Quantitative research and strategy analysis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Researched quantitative strategy ideas and backtesting workflows with Python-based data analysis.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Evaluated factor robustness, risk and turnover characteristics, and strategy diagnostics through statistical tests and visualization.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Built reproducible research utilities for experiment tracking, factor validation, and portfolio-performance analysis.</w:t>
      </w:r>
    </w:p>
    <w:p>
      <w:pPr>
        <w:spacing w:before="220" w:after="60" w:line="240" w:lineRule="exact"/>
      </w:pPr>
      <w:r>
        <w:rPr>
          <w:rFonts w:ascii="Arial" w:hAnsi="Arial"/>
          <w:b/>
          <w:color w:val="1F4E79"/>
          <w:sz w:val="20"/>
        </w:rPr>
        <w:t>SELECTED PAPERS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pPr>
              <w:spacing w:after="20" w:line="230" w:lineRule="exact"/>
            </w:pPr>
            <w:r>
              <w:rPr>
                <w:rFonts w:ascii="Arial" w:hAnsi="Arial"/>
                <w:b/>
                <w:sz w:val="18"/>
              </w:rPr>
              <w:t>Is Noise Conditioning Necessary for Denoising Generative Models?</w:t>
            </w:r>
          </w:p>
        </w:tc>
        <w:tc>
          <w:tcPr>
            <w:tcW w:type="dxa" w:w="5285"/>
          </w:tcPr>
          <w:p>
            <w:pPr>
              <w:spacing w:after="20" w:line="230" w:lineRule="exact"/>
              <w:jc w:val="right"/>
            </w:pPr>
            <w:r>
              <w:rPr>
                <w:rFonts w:ascii="Arial" w:hAnsi="Arial"/>
                <w:b w:val="0"/>
                <w:color w:val="45515C"/>
                <w:sz w:val="17"/>
              </w:rPr>
              <w:t>2025</w:t>
            </w:r>
          </w:p>
        </w:tc>
      </w:tr>
    </w:tbl>
    <w:p>
      <w:pPr>
        <w:spacing w:after="40" w:line="216" w:lineRule="exact"/>
      </w:pPr>
      <w:r>
        <w:rPr>
          <w:rFonts w:ascii="Arial" w:hAnsi="Arial"/>
          <w:b w:val="0"/>
          <w:color w:val="45515C"/>
          <w:sz w:val="17"/>
        </w:rPr>
        <w:t>ICML 2025 poster; first author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Revisited the necessity of noise conditioning in diffusion and flow-matching models by reimplementing eight denoising generative models across multiple datasets.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Proposed uEDM, a noise-unconditional diffusion model with competitive performance, supported by theory that matches empirical behavior.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pPr>
              <w:spacing w:after="20" w:line="230" w:lineRule="exact"/>
            </w:pPr>
            <w:r>
              <w:rPr>
                <w:rFonts w:ascii="Arial" w:hAnsi="Arial"/>
                <w:b/>
                <w:sz w:val="18"/>
              </w:rPr>
              <w:t>Bidirectional Normalizing Flow: From Data to Noise and Back</w:t>
            </w:r>
          </w:p>
        </w:tc>
        <w:tc>
          <w:tcPr>
            <w:tcW w:type="dxa" w:w="5285"/>
          </w:tcPr>
          <w:p>
            <w:pPr>
              <w:spacing w:after="20" w:line="230" w:lineRule="exact"/>
              <w:jc w:val="right"/>
            </w:pPr>
            <w:r>
              <w:rPr>
                <w:rFonts w:ascii="Arial" w:hAnsi="Arial"/>
                <w:b w:val="0"/>
                <w:color w:val="45515C"/>
                <w:sz w:val="17"/>
              </w:rPr>
              <w:t>2025</w:t>
            </w:r>
          </w:p>
        </w:tc>
      </w:tr>
    </w:tbl>
    <w:p>
      <w:pPr>
        <w:spacing w:after="40" w:line="216" w:lineRule="exact"/>
      </w:pPr>
      <w:r>
        <w:rPr>
          <w:rFonts w:ascii="Arial" w:hAnsi="Arial"/>
          <w:b w:val="0"/>
          <w:color w:val="45515C"/>
          <w:sz w:val="17"/>
        </w:rPr>
        <w:t>Project lead and first author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Revisited normalizing flows with a learned reverse map, eliminating explicit inverse-flow computation and slow autoregressive inference.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Guided reverse learning through hidden-state alignment, enabling single-evaluation NF-based generation with state-of-the-art results among NF methods.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pPr>
              <w:spacing w:after="20" w:line="230" w:lineRule="exact"/>
            </w:pPr>
            <w:r>
              <w:rPr>
                <w:rFonts w:ascii="Arial" w:hAnsi="Arial"/>
                <w:b/>
                <w:sz w:val="18"/>
              </w:rPr>
              <w:t>One-step Latent-free Image Generation with Pixel Mean Flows</w:t>
            </w:r>
          </w:p>
        </w:tc>
        <w:tc>
          <w:tcPr>
            <w:tcW w:type="dxa" w:w="5285"/>
          </w:tcPr>
          <w:p>
            <w:pPr>
              <w:spacing w:after="20" w:line="230" w:lineRule="exact"/>
              <w:jc w:val="right"/>
            </w:pPr>
            <w:r>
              <w:rPr>
                <w:rFonts w:ascii="Arial" w:hAnsi="Arial"/>
                <w:b w:val="0"/>
                <w:color w:val="45515C"/>
                <w:sz w:val="17"/>
              </w:rPr>
              <w:t>2026</w:t>
            </w:r>
          </w:p>
        </w:tc>
      </w:tr>
    </w:tbl>
    <w:p>
      <w:pPr>
        <w:spacing w:after="40" w:line="216" w:lineRule="exact"/>
      </w:pPr>
      <w:r>
        <w:rPr>
          <w:rFonts w:ascii="Arial" w:hAnsi="Arial"/>
          <w:b w:val="0"/>
          <w:color w:val="45515C"/>
          <w:sz w:val="17"/>
        </w:rPr>
        <w:t>First author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Built a strong baseline for one-step, pixel-space, latent-free generation using MeanFlow with x-prediction.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Reported 2.22 FID on ImageNet 256 and 2.48 FID on ImageNet 512; open-source implementation at Lyy-iiis/pMF.</w:t>
      </w:r>
    </w:p>
    <w:p>
      <w:pPr>
        <w:spacing w:before="220" w:after="60" w:line="240" w:lineRule="exact"/>
      </w:pPr>
      <w:r>
        <w:rPr>
          <w:rFonts w:ascii="Arial" w:hAnsi="Arial"/>
          <w:b/>
          <w:color w:val="1F4E79"/>
          <w:sz w:val="20"/>
        </w:rPr>
        <w:t>COURSE PROJECTS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pPr>
              <w:spacing w:after="20" w:line="230" w:lineRule="exact"/>
            </w:pPr>
            <w:r>
              <w:rPr>
                <w:rFonts w:ascii="Arial" w:hAnsi="Arial"/>
                <w:b/>
                <w:sz w:val="18"/>
              </w:rPr>
              <w:t>Fast Humanoid Loco-Manipulation via Flow Matching</w:t>
            </w:r>
          </w:p>
        </w:tc>
        <w:tc>
          <w:tcPr>
            <w:tcW w:type="dxa" w:w="5285"/>
          </w:tcPr>
          <w:p>
            <w:pPr>
              <w:spacing w:after="20" w:line="230" w:lineRule="exact"/>
              <w:jc w:val="right"/>
            </w:pPr>
            <w:r>
              <w:rPr>
                <w:rFonts w:ascii="Arial" w:hAnsi="Arial"/>
                <w:b w:val="0"/>
                <w:color w:val="45515C"/>
                <w:sz w:val="17"/>
              </w:rPr>
              <w:t>2025</w:t>
            </w:r>
          </w:p>
        </w:tc>
      </w:tr>
    </w:tbl>
    <w:p>
      <w:pPr>
        <w:spacing w:after="40" w:line="216" w:lineRule="exact"/>
      </w:pPr>
      <w:r>
        <w:rPr>
          <w:rFonts w:ascii="Arial" w:hAnsi="Arial"/>
          <w:b w:val="0"/>
          <w:color w:val="45515C"/>
          <w:sz w:val="17"/>
        </w:rPr>
        <w:t>MIT 6.4210 course project; robotics manipulation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Reimplemented a BeyondMimic-style humanoid loco-manipulation pipeline with simulated data preparation, diffusion training, and post-hoc control guidance.</w:t>
      </w:r>
    </w:p>
    <w:p>
      <w:pPr>
        <w:pStyle w:val="ListBullet"/>
        <w:spacing w:after="40" w:line="216" w:lineRule="exact"/>
        <w:ind w:left="259" w:hanging="144"/>
      </w:pPr>
      <w:r>
        <w:rPr>
          <w:rFonts w:ascii="Arial" w:hAnsi="Arial"/>
          <w:b w:val="0"/>
          <w:sz w:val="17"/>
        </w:rPr>
        <w:t>Replaced DDPM sampling with flow matching and demonstrated lower-latency control with 5 sampling steps.</w:t>
      </w:r>
    </w:p>
    <w:p>
      <w:pPr>
        <w:spacing w:before="220" w:after="60" w:line="240" w:lineRule="exact"/>
      </w:pPr>
      <w:r>
        <w:rPr>
          <w:rFonts w:ascii="Arial" w:hAnsi="Arial"/>
          <w:b/>
          <w:color w:val="1F4E79"/>
          <w:sz w:val="20"/>
        </w:rPr>
        <w:t>EDUCATION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pPr>
              <w:spacing w:after="20" w:line="230" w:lineRule="exact"/>
            </w:pPr>
            <w:r>
              <w:rPr>
                <w:rFonts w:ascii="Arial" w:hAnsi="Arial"/>
                <w:b/>
                <w:sz w:val="18"/>
              </w:rPr>
              <w:t>Massachusetts Institute of Technology</w:t>
            </w:r>
          </w:p>
        </w:tc>
        <w:tc>
          <w:tcPr>
            <w:tcW w:type="dxa" w:w="5285"/>
          </w:tcPr>
          <w:p>
            <w:pPr>
              <w:spacing w:after="20" w:line="230" w:lineRule="exact"/>
              <w:jc w:val="right"/>
            </w:pPr>
            <w:r>
              <w:rPr>
                <w:rFonts w:ascii="Arial" w:hAnsi="Arial"/>
                <w:b w:val="0"/>
                <w:color w:val="45515C"/>
                <w:sz w:val="17"/>
              </w:rPr>
              <w:t>Sep 2024 - Present</w:t>
            </w:r>
          </w:p>
        </w:tc>
      </w:tr>
    </w:tbl>
    <w:p>
      <w:pPr>
        <w:spacing w:after="40" w:line="216" w:lineRule="exact"/>
      </w:pPr>
      <w:r>
        <w:rPr>
          <w:rFonts w:ascii="Arial" w:hAnsi="Arial"/>
          <w:b w:val="0"/>
          <w:color w:val="45515C"/>
          <w:sz w:val="17"/>
        </w:rPr>
        <w:t>Undergraduate in Artificial Intelligence and Mathematics; expected graduation: 2028; GPA: 5.00/5.00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pPr>
              <w:spacing w:after="20" w:line="230" w:lineRule="exact"/>
            </w:pPr>
            <w:r>
              <w:rPr>
                <w:rFonts w:ascii="Arial" w:hAnsi="Arial"/>
                <w:b/>
                <w:sz w:val="18"/>
              </w:rPr>
              <w:t>Tsinghua University, Institute for Interdisciplinary Information Sciences</w:t>
            </w:r>
          </w:p>
        </w:tc>
        <w:tc>
          <w:tcPr>
            <w:tcW w:type="dxa" w:w="5285"/>
          </w:tcPr>
          <w:p>
            <w:pPr>
              <w:spacing w:after="20" w:line="230" w:lineRule="exact"/>
              <w:jc w:val="right"/>
            </w:pPr>
            <w:r>
              <w:rPr>
                <w:rFonts w:ascii="Arial" w:hAnsi="Arial"/>
                <w:b w:val="0"/>
                <w:color w:val="45515C"/>
                <w:sz w:val="17"/>
              </w:rPr>
              <w:t>Sep 2023 - Jul 2024</w:t>
            </w:r>
          </w:p>
        </w:tc>
      </w:tr>
    </w:tbl>
    <w:p>
      <w:pPr>
        <w:spacing w:after="40" w:line="216" w:lineRule="exact"/>
      </w:pPr>
      <w:r>
        <w:rPr>
          <w:rFonts w:ascii="Arial" w:hAnsi="Arial"/>
          <w:b w:val="0"/>
          <w:color w:val="45515C"/>
          <w:sz w:val="17"/>
        </w:rPr>
        <w:t>Pre-college student; GPA: 4.00/4.00</w:t>
      </w:r>
    </w:p>
    <w:p>
      <w:r>
        <w:br w:type="page"/>
      </w:r>
    </w:p>
    <w:p>
      <w:pPr>
        <w:spacing w:before="220" w:after="60" w:line="240" w:lineRule="exact"/>
      </w:pPr>
      <w:r>
        <w:rPr>
          <w:rFonts w:ascii="Arial" w:hAnsi="Arial"/>
          <w:b/>
          <w:color w:val="1F4E79"/>
          <w:sz w:val="20"/>
        </w:rPr>
        <w:t>CERTIFICATES &amp; HONORS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pPr>
              <w:spacing w:after="20" w:line="230" w:lineRule="exact"/>
            </w:pPr>
            <w:r>
              <w:rPr>
                <w:rFonts w:ascii="Arial" w:hAnsi="Arial"/>
                <w:b/>
                <w:sz w:val="18"/>
              </w:rPr>
              <w:t>2nd place, 2024 Putnam Mathematical Competition</w:t>
            </w:r>
          </w:p>
        </w:tc>
        <w:tc>
          <w:tcPr>
            <w:tcW w:type="dxa" w:w="5285"/>
          </w:tcPr>
          <w:p>
            <w:pPr>
              <w:spacing w:after="20" w:line="230" w:lineRule="exact"/>
              <w:jc w:val="right"/>
            </w:pPr>
            <w:r>
              <w:rPr>
                <w:rFonts w:ascii="Arial" w:hAnsi="Arial"/>
                <w:b w:val="0"/>
                <w:color w:val="45515C"/>
                <w:sz w:val="17"/>
              </w:rPr>
              <w:t>2024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pPr>
              <w:spacing w:after="20" w:line="230" w:lineRule="exact"/>
            </w:pPr>
            <w:r>
              <w:rPr>
                <w:rFonts w:ascii="Arial" w:hAnsi="Arial"/>
                <w:b/>
                <w:sz w:val="18"/>
              </w:rPr>
              <w:t>Gold Medal and 11th place, International Mathematical Olympiad</w:t>
            </w:r>
          </w:p>
        </w:tc>
        <w:tc>
          <w:tcPr>
            <w:tcW w:type="dxa" w:w="5285"/>
          </w:tcPr>
          <w:p>
            <w:pPr>
              <w:spacing w:after="20" w:line="230" w:lineRule="exact"/>
              <w:jc w:val="right"/>
            </w:pPr>
            <w:r>
              <w:rPr>
                <w:rFonts w:ascii="Arial" w:hAnsi="Arial"/>
                <w:b w:val="0"/>
                <w:color w:val="45515C"/>
                <w:sz w:val="17"/>
              </w:rPr>
              <w:t>2023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pPr>
              <w:spacing w:after="20" w:line="230" w:lineRule="exact"/>
            </w:pPr>
            <w:r>
              <w:rPr>
                <w:rFonts w:ascii="Arial" w:hAnsi="Arial"/>
                <w:b/>
                <w:sz w:val="18"/>
              </w:rPr>
              <w:t>Gold Medal and 1st place with perfect score, Chinese Mathematical Olympiad</w:t>
            </w:r>
          </w:p>
        </w:tc>
        <w:tc>
          <w:tcPr>
            <w:tcW w:type="dxa" w:w="5285"/>
          </w:tcPr>
          <w:p>
            <w:pPr>
              <w:spacing w:after="20" w:line="230" w:lineRule="exact"/>
              <w:jc w:val="right"/>
            </w:pPr>
            <w:r>
              <w:rPr>
                <w:rFonts w:ascii="Arial" w:hAnsi="Arial"/>
                <w:b w:val="0"/>
                <w:color w:val="45515C"/>
                <w:sz w:val="17"/>
              </w:rPr>
              <w:t>2022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pPr>
              <w:spacing w:after="20" w:line="230" w:lineRule="exact"/>
            </w:pPr>
            <w:r>
              <w:rPr>
                <w:rFonts w:ascii="Arial" w:hAnsi="Arial"/>
                <w:b/>
                <w:sz w:val="18"/>
              </w:rPr>
              <w:t>Excellent Award, Alibaba Global Mathematics Competition; top 70 among 50,000+ participants</w:t>
            </w:r>
          </w:p>
        </w:tc>
        <w:tc>
          <w:tcPr>
            <w:tcW w:type="dxa" w:w="5285"/>
          </w:tcPr>
          <w:p>
            <w:pPr>
              <w:spacing w:after="20" w:line="230" w:lineRule="exact"/>
              <w:jc w:val="right"/>
            </w:pPr>
            <w:r>
              <w:rPr>
                <w:rFonts w:ascii="Arial" w:hAnsi="Arial"/>
                <w:b w:val="0"/>
                <w:color w:val="45515C"/>
                <w:sz w:val="17"/>
              </w:rPr>
              <w:t>2022-2024</w:t>
            </w:r>
          </w:p>
        </w:tc>
      </w:tr>
    </w:tbl>
    <w:p>
      <w:pPr>
        <w:spacing w:before="220" w:after="60" w:line="240" w:lineRule="exact"/>
      </w:pPr>
      <w:r>
        <w:rPr>
          <w:rFonts w:ascii="Arial" w:hAnsi="Arial"/>
          <w:b/>
          <w:color w:val="1F4E79"/>
          <w:sz w:val="20"/>
        </w:rPr>
        <w:t>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pPr>
              <w:spacing w:after="20" w:line="230" w:lineRule="exact"/>
            </w:pPr>
            <w:r>
              <w:rPr>
                <w:rFonts w:ascii="Arial" w:hAnsi="Arial"/>
                <w:b/>
                <w:sz w:val="18"/>
              </w:rPr>
              <w:t>Programming</w:t>
            </w:r>
          </w:p>
        </w:tc>
        <w:tc>
          <w:tcPr>
            <w:tcW w:type="dxa" w:w="5285"/>
          </w:tcPr>
          <w:p>
            <w:pPr>
              <w:spacing w:after="20" w:line="230" w:lineRule="exact"/>
              <w:jc w:val="right"/>
            </w:pPr>
            <w:r>
              <w:rPr>
                <w:rFonts w:ascii="Arial" w:hAnsi="Arial"/>
                <w:b w:val="0"/>
                <w:color w:val="45515C"/>
                <w:sz w:val="17"/>
              </w:rPr>
            </w:r>
          </w:p>
        </w:tc>
      </w:tr>
    </w:tbl>
    <w:p>
      <w:pPr>
        <w:spacing w:after="40" w:line="216" w:lineRule="exact"/>
      </w:pPr>
      <w:r>
        <w:rPr>
          <w:rFonts w:ascii="Arial" w:hAnsi="Arial"/>
          <w:b w:val="0"/>
          <w:color w:val="45515C"/>
          <w:sz w:val="17"/>
        </w:rPr>
        <w:t>Python, C, PyTorch, JAX, GPU/TPU training and evaluation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</w:tcPr>
          <w:p>
            <w:pPr>
              <w:spacing w:after="20" w:line="230" w:lineRule="exact"/>
            </w:pPr>
            <w:r>
              <w:rPr>
                <w:rFonts w:ascii="Arial" w:hAnsi="Arial"/>
                <w:b/>
                <w:sz w:val="18"/>
              </w:rPr>
              <w:t>Languages</w:t>
            </w:r>
          </w:p>
        </w:tc>
        <w:tc>
          <w:tcPr>
            <w:tcW w:type="dxa" w:w="5285"/>
          </w:tcPr>
          <w:p>
            <w:pPr>
              <w:spacing w:after="20" w:line="230" w:lineRule="exact"/>
              <w:jc w:val="right"/>
            </w:pPr>
            <w:r>
              <w:rPr>
                <w:rFonts w:ascii="Arial" w:hAnsi="Arial"/>
                <w:b w:val="0"/>
                <w:color w:val="45515C"/>
                <w:sz w:val="17"/>
              </w:rPr>
            </w:r>
          </w:p>
        </w:tc>
      </w:tr>
    </w:tbl>
    <w:p>
      <w:pPr>
        <w:spacing w:after="40" w:line="216" w:lineRule="exact"/>
      </w:pPr>
      <w:r>
        <w:rPr>
          <w:rFonts w:ascii="Arial" w:hAnsi="Arial"/>
          <w:b w:val="0"/>
          <w:color w:val="45515C"/>
          <w:sz w:val="17"/>
        </w:rPr>
        <w:t>Mandarin (native), English (fluent)</w:t>
      </w:r>
    </w:p>
    <w:sectPr w:rsidR="00FC693F" w:rsidRPr="0006063C" w:rsidSect="00034616">
      <w:pgSz w:w="12240" w:h="15840"/>
      <w:pgMar w:top="749" w:right="835" w:bottom="806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