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440" w:lineRule="exact"/>
        <w:jc w:val="center"/>
      </w:pPr>
      <w:r>
        <w:rPr>
          <w:rFonts w:ascii="Arial" w:hAnsi="Arial"/>
          <w:b/>
          <w:sz w:val="36"/>
        </w:rPr>
        <w:t>Qiao Sun</w:t>
      </w:r>
    </w:p>
    <w:p>
      <w:pPr>
        <w:spacing w:after="160" w:line="220" w:lineRule="exact"/>
        <w:jc w:val="center"/>
      </w:pPr>
      <w:r>
        <w:rPr>
          <w:rFonts w:ascii="Arial" w:hAnsi="Arial"/>
          <w:b w:val="0"/>
          <w:color w:val="45515C"/>
          <w:sz w:val="17"/>
        </w:rPr>
        <w:t>(+86) 17317700890 / (+1) 6172568632 / sqa24@mit.edu / github.com/qiaosungithub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RESEARCH &amp; PROFESSIONAL EXPERIENCE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Undergraduate Researcher, He Vision Group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2024 - Present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Professor: Kaiming He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Work as a UROP student in He Vision Group on generative models, including diffusion and flow matching, normalizing flows, and fast image generation.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Collaborate with Hanhong Zhao, Zhicheng Jiang, Xianbang Wang, and Yiyang Lu on a unified direction for vision-language understanding and text-to-image generation.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Conduct large-scale experiments with JAX on TPUs and PyTorch on GPUs; build training, evaluation, and ablation pipelines for image generation models.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Serve as one of the group leads and TPU/GCP managers/admins, helping coordinate compute resources, access, and shared training infrastructure.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Quant Strategy Analyst Intern, Ubiquant Investment (Jiukun Quant)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Jun 20 - Aug 31, 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Quantitative research and strategy analysis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Researched quantitative strategy ideas and backtesting workflows with Python-based data analysis.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Evaluated factor robustness, risk and turnover characteristics, and strategy diagnostics through statistical tests and visualization.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Built reproducible research utilities for experiment tracking, factor validation, and portfolio-performance analysis.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SELECTED PAPERS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Is Noise Conditioning Necessary for Denoising Generative Models?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ICML 2025 poster;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Revisited the necessity of noise conditioning in diffusion and flow-matching models by reimplementing eight denoising generative models across multiple datasets.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Proposed uEDM, a noise-unconditional diffusion model with competitive performance, supported by theory that matches empirical behavior.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Bidirectional Normalizing Flow: From Data to Noise and Back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Project lead and 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Revisited normalizing flows with a learned reverse map, eliminating explicit inverse-flow computation and slow autoregressive inference.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Guided reverse learning through hidden-state alignment, enabling single-evaluation NF-based generation with state-of-the-art results among NF methods.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One-step Latent-free Image Generation with Pixel Mean Flows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2026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First author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Built a strong baseline for one-step, pixel-space, latent-free generation using MeanFlow with x-prediction.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Reported 2.22 FID on ImageNet 256 and 2.48 FID on ImageNet 512; open-source implementation at Lyy-iiis/pMF.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COURSE PROJECTS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Fast Humanoid Loco-Manipulation via Flow Matching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MIT 6.4210 course project; robotics manipulation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Reimplemented a BeyondMimic-style humanoid loco-manipulation pipeline with simulated data preparation, diffusion training, and post-hoc control guidance.</w:t>
      </w:r>
    </w:p>
    <w:p>
      <w:pPr>
        <w:pStyle w:val="ListBullet"/>
        <w:spacing w:after="40" w:line="216" w:lineRule="exact"/>
        <w:ind w:left="259" w:hanging="144"/>
      </w:pPr>
      <w:r>
        <w:rPr>
          <w:rFonts w:ascii="Arial" w:hAnsi="Arial"/>
          <w:b w:val="0"/>
          <w:sz w:val="17"/>
        </w:rPr>
        <w:t>Replaced DDPM sampling with flow matching and demonstrated lower-latency control with 5 sampling steps.</w:t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EDUCATION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Massachusetts Institute of Technology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2024 - Present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Undergraduate in Artificial Intelligence and Mathematics; expected graduation: 2028; GPA: 5.00/5.00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Tsinghua University, Institute for Interdisciplinary Information Sciences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Sep 2023 - Jul 2024</w:t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Pre-college student; GPA: 4.00/4.00</w:t>
      </w:r>
    </w:p>
    <w:p>
      <w:r>
        <w:br w:type="page"/>
      </w:r>
    </w:p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CERTIFICATES &amp; HONORS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Top 17, 2025 Putnam Mathematical Competition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2025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2nd place, 2024 Putnam Mathematical Competition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2024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Gold Medal and 11th place, International Mathematical Olympiad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2023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Gold Medal and 1st place with perfect score, Chinese Mathematical Olympiad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2022</w:t>
            </w:r>
          </w:p>
        </w:tc>
      </w:tr>
    </w:tbl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Excellent Award, Alibaba Global Mathematics Competition; top 70 among 50,000+ participants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  <w:t>2022-2024</w:t>
            </w:r>
          </w:p>
        </w:tc>
      </w:tr>
    </w:tbl>
    <w:p>
      <w:pPr>
        <w:spacing w:before="220" w:after="60" w:line="240" w:lineRule="exact"/>
      </w:pPr>
      <w:r>
        <w:rPr>
          <w:rFonts w:ascii="Arial" w:hAnsi="Arial"/>
          <w:b/>
          <w:color w:val="1F4E79"/>
          <w:sz w:val="20"/>
        </w:rPr>
        <w:t>SKILLS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Programming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Python, C, PyTorch, JAX, GPU/TPU training and evaluation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85"/>
        <w:gridCol w:w="5285"/>
      </w:tblGrid>
      <w:tr>
        <w:tc>
          <w:tcPr>
            <w:tcW w:type="dxa" w:w="5285"/>
          </w:tcPr>
          <w:p>
            <w:pPr>
              <w:spacing w:after="20" w:line="230" w:lineRule="exact"/>
            </w:pPr>
            <w:r>
              <w:rPr>
                <w:rFonts w:ascii="Arial" w:hAnsi="Arial"/>
                <w:b/>
                <w:sz w:val="18"/>
              </w:rPr>
              <w:t>Languages</w:t>
            </w:r>
          </w:p>
        </w:tc>
        <w:tc>
          <w:tcPr>
            <w:tcW w:type="dxa" w:w="5285"/>
          </w:tcPr>
          <w:p>
            <w:pPr>
              <w:spacing w:after="20" w:line="230" w:lineRule="exact"/>
              <w:jc w:val="right"/>
            </w:pPr>
            <w:r>
              <w:rPr>
                <w:rFonts w:ascii="Arial" w:hAnsi="Arial"/>
                <w:b w:val="0"/>
                <w:color w:val="45515C"/>
                <w:sz w:val="17"/>
              </w:rPr>
            </w:r>
          </w:p>
        </w:tc>
      </w:tr>
    </w:tbl>
    <w:p>
      <w:pPr>
        <w:spacing w:after="40" w:line="216" w:lineRule="exact"/>
      </w:pPr>
      <w:r>
        <w:rPr>
          <w:rFonts w:ascii="Arial" w:hAnsi="Arial"/>
          <w:b w:val="0"/>
          <w:color w:val="45515C"/>
          <w:sz w:val="17"/>
        </w:rPr>
        <w:t>Mandarin (native), English (fluent)</w:t>
      </w:r>
    </w:p>
    <w:sectPr w:rsidR="00FC693F" w:rsidRPr="0006063C" w:rsidSect="00034616">
      <w:pgSz w:w="12240" w:h="15840"/>
      <w:pgMar w:top="749" w:right="835" w:bottom="806" w:left="83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