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left"/>
      </w:pPr>
    </w:p>
    <w:p>
      <w:pPr>
        <w:spacing w:before="0" w:after="160"/>
        <w:jc w:val="center"/>
      </w:pPr>
      <w:r>
        <w:rPr>
          <w:rFonts w:ascii="微软雅黑" w:hAnsi="微软雅黑"/>
          <w:b/>
          <w:i w:val="0"/>
          <w:color w:val="0F4C81"/>
          <w:sz w:val="52"/>
        </w:rPr>
        <w:t>海洋数字地球系统</w:t>
      </w:r>
    </w:p>
    <w:p>
      <w:pPr>
        <w:spacing w:before="0" w:after="800"/>
        <w:jc w:val="center"/>
      </w:pPr>
      <w:r>
        <w:rPr>
          <w:rFonts w:ascii="微软雅黑" w:hAnsi="微软雅黑"/>
          <w:b w:val="0"/>
          <w:i w:val="0"/>
          <w:color w:val="0D879E"/>
          <w:sz w:val="36"/>
        </w:rPr>
        <w:t>技术总结与完善路线图</w:t>
      </w:r>
    </w:p>
    <w:p>
      <w:pPr>
        <w:spacing w:before="0" w:after="120"/>
        <w:jc w:val="center"/>
      </w:pPr>
      <w:r>
        <w:rPr>
          <w:rFonts w:ascii="微软雅黑" w:hAnsi="微软雅黑"/>
          <w:b w:val="0"/>
          <w:i/>
          <w:color w:val="445566"/>
          <w:sz w:val="24"/>
        </w:rPr>
        <w:t>Ocean Digital Earth RAG Multi-Agent System</w:t>
      </w:r>
    </w:p>
    <w:p>
      <w:pPr>
        <w:spacing w:before="0" w:after="1200"/>
        <w:jc w:val="center"/>
      </w:pPr>
      <w:r>
        <w:rPr>
          <w:rFonts w:ascii="微软雅黑" w:hAnsi="微软雅黑"/>
          <w:b w:val="0"/>
          <w:i w:val="0"/>
          <w:color w:val="445566"/>
          <w:sz w:val="22"/>
        </w:rPr>
        <w:t>项目版本：v2.0  |  报告日期：2026-06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4C81"/>
          </w:tcPr>
          <w:p>
            <w:r>
              <w:rPr>
                <w:b/>
                <w:color w:val="FFFFFF"/>
                <w:sz w:val="20"/>
              </w:rPr>
              <w:t>技术方向</w:t>
            </w:r>
          </w:p>
        </w:tc>
        <w:tc>
          <w:tcPr>
            <w:tcW w:type="dxa" w:w="4536"/>
            <w:shd w:val="clear" w:color="auto" w:fill="EEF4F8"/>
          </w:tcPr>
          <w:p>
            <w:r>
              <w:rPr>
                <w:color w:val="445566"/>
                <w:sz w:val="20"/>
              </w:rPr>
              <w:t>RAG 知识检索 + LangGraph 多 Agent + MCP + A2A</w:t>
            </w:r>
          </w:p>
        </w:tc>
      </w:tr>
      <w:tr>
        <w:tc>
          <w:tcPr>
            <w:tcW w:type="dxa" w:w="4536"/>
            <w:shd w:val="clear" w:color="auto" w:fill="0F4C81"/>
          </w:tcPr>
          <w:p>
            <w:r>
              <w:rPr>
                <w:b/>
                <w:color w:val="FFFFFF"/>
                <w:sz w:val="20"/>
              </w:rPr>
              <w:t>核心模型</w:t>
            </w:r>
          </w:p>
        </w:tc>
        <w:tc>
          <w:tcPr>
            <w:tcW w:type="dxa" w:w="4536"/>
            <w:shd w:val="clear" w:color="auto" w:fill="EEF4F8"/>
          </w:tcPr>
          <w:p>
            <w:r>
              <w:rPr>
                <w:color w:val="445566"/>
                <w:sz w:val="20"/>
              </w:rPr>
              <w:t>DeepSeek Chat（LLM）/ 本地回退</w:t>
            </w:r>
          </w:p>
        </w:tc>
      </w:tr>
      <w:tr>
        <w:tc>
          <w:tcPr>
            <w:tcW w:type="dxa" w:w="4536"/>
            <w:shd w:val="clear" w:color="auto" w:fill="0F4C81"/>
          </w:tcPr>
          <w:p>
            <w:r>
              <w:rPr>
                <w:b/>
                <w:color w:val="FFFFFF"/>
                <w:sz w:val="20"/>
              </w:rPr>
              <w:t>前端框架</w:t>
            </w:r>
          </w:p>
        </w:tc>
        <w:tc>
          <w:tcPr>
            <w:tcW w:type="dxa" w:w="4536"/>
            <w:shd w:val="clear" w:color="auto" w:fill="EEF4F8"/>
          </w:tcPr>
          <w:p>
            <w:r>
              <w:rPr>
                <w:color w:val="445566"/>
                <w:sz w:val="20"/>
              </w:rPr>
              <w:t>Vue 3 + Cesium 1.122 + OpenLayers 10</w:t>
            </w:r>
          </w:p>
        </w:tc>
      </w:tr>
      <w:tr>
        <w:tc>
          <w:tcPr>
            <w:tcW w:type="dxa" w:w="4536"/>
            <w:shd w:val="clear" w:color="auto" w:fill="0F4C81"/>
          </w:tcPr>
          <w:p>
            <w:r>
              <w:rPr>
                <w:b/>
                <w:color w:val="FFFFFF"/>
                <w:sz w:val="20"/>
              </w:rPr>
              <w:t>部署方式</w:t>
            </w:r>
          </w:p>
        </w:tc>
        <w:tc>
          <w:tcPr>
            <w:tcW w:type="dxa" w:w="4536"/>
            <w:shd w:val="clear" w:color="auto" w:fill="EEF4F8"/>
          </w:tcPr>
          <w:p>
            <w:r>
              <w:rPr>
                <w:color w:val="445566"/>
                <w:sz w:val="20"/>
              </w:rPr>
              <w:t>Docker Compose（Nginx + Flask + GeoServer + RAGFlow）</w:t>
            </w:r>
          </w:p>
        </w:tc>
      </w:tr>
    </w:tbl>
    <w:p>
      <w:r>
        <w:br w:type="page"/>
      </w:r>
    </w:p>
    <w:p>
      <w:pPr>
        <w:spacing w:before="320" w:after="120"/>
        <w:jc w:val="left"/>
        <w:pBdr>
          <w:bottom w:val="single" w:sz="6" w:space="4" w:color="0F4C81"/>
        </w:pBdr>
      </w:pPr>
      <w:r>
        <w:rPr>
          <w:rFonts w:ascii="微软雅黑" w:hAnsi="微软雅黑"/>
          <w:b/>
          <w:i w:val="0"/>
          <w:color w:val="0F4C81"/>
          <w:sz w:val="36"/>
        </w:rPr>
        <w:t>一、执行摘要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本报告全面总结「海洋数字地球」系统的现状、本轮技术实现，以及面向生产级应用的完整完善路线图。系统以"空间数据 + 知识检索 + 多 Agent 推理"为核心架构，将 Cesium 三维地球、OpenLayers 二维定位、NetCDF 海洋要素渲染、RAGFlow/本地知识库检索与 LangGraph 多 Agent 报告流水线整合为一条可演示、可解释、可降级的海洋风险分析链路。</w:t>
      </w:r>
    </w:p>
    <w:p>
      <w:pPr>
        <w:spacing w:before="0" w:after="200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路线图涵盖 7 个阶段：NetCDF 数据层完善、RAGFlow 深度集成、多 Agent 架构升级、MCP 服务器、A2A 协议、基础设施工程化，以及贯穿全程的评测与监控体系。</w:t>
      </w:r>
    </w:p>
    <w:p>
      <w:pPr>
        <w:spacing w:before="320" w:after="120"/>
        <w:jc w:val="left"/>
        <w:pBdr>
          <w:bottom w:val="single" w:sz="6" w:space="4" w:color="0F4C81"/>
        </w:pBdr>
      </w:pPr>
      <w:r>
        <w:rPr>
          <w:rFonts w:ascii="微软雅黑" w:hAnsi="微软雅黑"/>
          <w:b/>
          <w:i w:val="0"/>
          <w:color w:val="0F4C81"/>
          <w:sz w:val="36"/>
        </w:rPr>
        <w:t>二、系统架构现状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2.1 整体架构</w:t>
      </w:r>
    </w:p>
    <w:p>
      <w:pPr>
        <w:spacing w:before="80" w:after="80"/>
        <w:ind w:left="567"/>
        <w:shd w:val="clear" w:fill="EEF4F8"/>
      </w:pPr>
      <w:r>
        <w:rPr>
          <w:rFonts w:ascii="Courier New" w:hAnsi="Courier New"/>
          <w:color w:val="205070"/>
          <w:sz w:val="18"/>
        </w:rPr>
        <w:t>Browser (Vue 3 + Cesium + OpenLayers)</w:t>
        <w:br/>
        <w:t xml:space="preserve">  │</w:t>
        <w:br/>
        <w:t xml:space="preserve">  ├── /api/*          Flask backend (port 5000)</w:t>
        <w:br/>
        <w:t xml:space="preserve">  │     ├── NetCDF 读取 + ETOPO 陆地掩膜 + land_mask_hires</w:t>
        <w:br/>
        <w:t xml:space="preserve">  │     └── LangGraph 多 Agent 流水线（7 节点）</w:t>
        <w:br/>
        <w:t xml:space="preserve">  │</w:t>
        <w:br/>
        <w:t xml:space="preserve">  ├── /geo-api/*      GeoAgent API (port 5001)</w:t>
        <w:br/>
        <w:t xml:space="preserve">  │     ├── SSE 流式报告生成</w:t>
        <w:br/>
        <w:t xml:space="preserve">  │     └── Intent→Retrieval→Context→Screening→Reasoning→Report→Critic</w:t>
        <w:br/>
        <w:t xml:space="preserve">  │</w:t>
        <w:br/>
        <w:t xml:space="preserve">  ├── RAGFlow (port 9380)  — 可选，离线自动降级到本地知识库</w:t>
        <w:br/>
        <w:t xml:space="preserve">  └── GeoServer (port 8081) — WMS/WCS 扩展点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2.2 多 Agent 流水线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当前实现 7 个串/并行 Agent 节点，基于 LangGraph StateGraph：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879E"/>
          </w:tcPr>
          <w:p>
            <w:r>
              <w:rPr>
                <w:b/>
                <w:color w:val="FFFFFF"/>
                <w:sz w:val="20"/>
              </w:rPr>
              <w:t>Agent 节点</w:t>
            </w:r>
          </w:p>
        </w:tc>
        <w:tc>
          <w:tcPr>
            <w:tcW w:type="dxa" w:w="3024"/>
            <w:shd w:val="clear" w:color="auto" w:fill="0D879E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024"/>
            <w:shd w:val="clear" w:color="auto" w:fill="0D879E"/>
          </w:tcPr>
          <w:p>
            <w:r>
              <w:rPr>
                <w:b/>
                <w:color w:val="FFFFFF"/>
                <w:sz w:val="20"/>
              </w:rPr>
              <w:t>实现说明</w:t>
            </w:r>
          </w:p>
        </w:tc>
      </w:tr>
      <w:tr>
        <w:tc>
          <w:tcPr>
            <w:tcW w:type="dxa" w:w="3024"/>
            <w:shd w:val="clear" w:color="auto" w:fill="F0F8FB"/>
          </w:tcPr>
          <w:p>
            <w:r>
              <w:rPr>
                <w:b/>
                <w:color w:val="0F4C81"/>
                <w:sz w:val="19"/>
              </w:rPr>
              <w:t>IntentNode</w:t>
            </w:r>
          </w:p>
        </w:tc>
        <w:tc>
          <w:tcPr>
            <w:tcW w:type="dxa" w:w="3024"/>
            <w:shd w:val="clear" w:color="auto" w:fill="F0F8FB"/>
          </w:tcPr>
          <w:p>
            <w:r>
              <w:rPr>
                <w:sz w:val="19"/>
              </w:rPr>
              <w:t>意图解析 + 领域分类</w:t>
            </w:r>
          </w:p>
        </w:tc>
        <w:tc>
          <w:tcPr>
            <w:tcW w:type="dxa" w:w="3024"/>
            <w:shd w:val="clear" w:color="auto" w:fill="F0F8FB"/>
          </w:tcPr>
          <w:p>
            <w:r>
              <w:rPr>
                <w:sz w:val="19"/>
              </w:rPr>
              <w:t>关键词匹配 + LLM 修正，支持 5 个领域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RetrievalNode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文献检索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RAGFlow 优先，本地 BM25 兜底，多 Query 融合</w:t>
            </w:r>
          </w:p>
        </w:tc>
      </w:tr>
      <w:tr>
        <w:tc>
          <w:tcPr>
            <w:tcW w:type="dxa" w:w="3024"/>
            <w:shd w:val="clear" w:color="auto" w:fill="F0F8FB"/>
          </w:tcPr>
          <w:p>
            <w:r>
              <w:rPr>
                <w:b/>
                <w:color w:val="0F4C81"/>
                <w:sz w:val="19"/>
              </w:rPr>
              <w:t>ContextNode</w:t>
            </w:r>
          </w:p>
        </w:tc>
        <w:tc>
          <w:tcPr>
            <w:tcW w:type="dxa" w:w="3024"/>
            <w:shd w:val="clear" w:color="auto" w:fill="F0F8FB"/>
          </w:tcPr>
          <w:p>
            <w:r>
              <w:rPr>
                <w:sz w:val="19"/>
              </w:rPr>
              <w:t>NetCDF 数据获取</w:t>
            </w:r>
          </w:p>
        </w:tc>
        <w:tc>
          <w:tcPr>
            <w:tcW w:type="dxa" w:w="3024"/>
            <w:shd w:val="clear" w:color="auto" w:fill="F0F8FB"/>
          </w:tcPr>
          <w:p>
            <w:r>
              <w:rPr>
                <w:sz w:val="19"/>
              </w:rPr>
              <w:t>按 bbox 读取格点、统计、ETOPO 陆地掩膜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ScreeningNode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证据筛选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keep/pass 二分，保留得分最高证据</w:t>
            </w:r>
          </w:p>
        </w:tc>
      </w:tr>
      <w:tr>
        <w:tc>
          <w:tcPr>
            <w:tcW w:type="dxa" w:w="3024"/>
            <w:shd w:val="clear" w:color="auto" w:fill="F0F8FB"/>
          </w:tcPr>
          <w:p>
            <w:r>
              <w:rPr>
                <w:b/>
                <w:color w:val="0F4C81"/>
                <w:sz w:val="19"/>
              </w:rPr>
              <w:t>ReasoningNode</w:t>
            </w:r>
          </w:p>
        </w:tc>
        <w:tc>
          <w:tcPr>
            <w:tcW w:type="dxa" w:w="3024"/>
            <w:shd w:val="clear" w:color="auto" w:fill="F0F8FB"/>
          </w:tcPr>
          <w:p>
            <w:r>
              <w:rPr>
                <w:sz w:val="19"/>
              </w:rPr>
              <w:t>领域推理</w:t>
            </w:r>
          </w:p>
        </w:tc>
        <w:tc>
          <w:tcPr>
            <w:tcW w:type="dxa" w:w="3024"/>
            <w:shd w:val="clear" w:color="auto" w:fill="F0F8FB"/>
          </w:tcPr>
          <w:p>
            <w:r>
              <w:rPr>
                <w:sz w:val="19"/>
              </w:rPr>
              <w:t>海洋/观星/生物/航行 4 套专域阈值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ReportNode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报告生成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流式 token 输出，领域模板，引用格式化</w:t>
            </w:r>
          </w:p>
        </w:tc>
      </w:tr>
      <w:tr>
        <w:tc>
          <w:tcPr>
            <w:tcW w:type="dxa" w:w="3024"/>
            <w:shd w:val="clear" w:color="auto" w:fill="F0F8FB"/>
          </w:tcPr>
          <w:p>
            <w:r>
              <w:rPr>
                <w:b/>
                <w:color w:val="0F4C81"/>
                <w:sz w:val="19"/>
              </w:rPr>
              <w:t>CriticNode</w:t>
            </w:r>
          </w:p>
        </w:tc>
        <w:tc>
          <w:tcPr>
            <w:tcW w:type="dxa" w:w="3024"/>
            <w:shd w:val="clear" w:color="auto" w:fill="F0F8FB"/>
          </w:tcPr>
          <w:p>
            <w:r>
              <w:rPr>
                <w:sz w:val="19"/>
              </w:rPr>
              <w:t>质量审查</w:t>
            </w:r>
          </w:p>
        </w:tc>
        <w:tc>
          <w:tcPr>
            <w:tcW w:type="dxa" w:w="3024"/>
            <w:shd w:val="clear" w:color="auto" w:fill="F0F8FB"/>
          </w:tcPr>
          <w:p>
            <w:r>
              <w:rPr>
                <w:sz w:val="19"/>
              </w:rPr>
              <w:t>passed/failed 判断，触发反思修订循环</w:t>
            </w:r>
          </w:p>
        </w:tc>
      </w:tr>
    </w:tbl>
    <w:p>
      <w:r>
        <w:br w:type="page"/>
      </w:r>
    </w:p>
    <w:p>
      <w:pPr>
        <w:spacing w:before="320" w:after="120"/>
        <w:jc w:val="left"/>
        <w:pBdr>
          <w:bottom w:val="single" w:sz="6" w:space="4" w:color="0F4C81"/>
        </w:pBdr>
      </w:pPr>
      <w:r>
        <w:rPr>
          <w:rFonts w:ascii="微软雅黑" w:hAnsi="微软雅黑"/>
          <w:b/>
          <w:i w:val="0"/>
          <w:color w:val="0F4C81"/>
          <w:sz w:val="36"/>
        </w:rPr>
        <w:t>三、本轮技术实现总结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3.1 前端 Vue 3 重构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将原有 1465 行命令式 JavaScript 重构为 Vue 3 Composition API，主要变化：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响应式状态管理：变量列表、渲染模式、统计值、SSE 流式消息全部纳入 Vue 3 reactive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v-for / v-model / @click 替代 innerHTML 操作，消除大量 DOM 手动查找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computed 属性自动计算允许的渲染模式、领域建议词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onMounted 生命周期安全初始化 Cesium Viewer + OpenLayers Map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3.2 Windy 风格渲染引擎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按变量类型自动选配色带，重新实现色彩插值：</w:t>
      </w:r>
    </w:p>
    <w:p>
      <w:pPr>
        <w:spacing w:before="20" w:after="2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0"/>
        </w:rPr>
        <w:t xml:space="preserve">  SST / 温度：深蓝 → 青绿 → 亮黄 → 橙红 → 深红（仿 Windy 温度图层）</w:t>
      </w:r>
    </w:p>
    <w:p>
      <w:pPr>
        <w:spacing w:before="20" w:after="2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0"/>
        </w:rPr>
        <w:t xml:space="preserve">  海表盐度：蓝 → 青 → 浅棕</w:t>
      </w:r>
    </w:p>
    <w:p>
      <w:pPr>
        <w:spacing w:before="20" w:after="2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0"/>
        </w:rPr>
        <w:t xml:space="preserve">  叶绿素：深紫 → 蓝 → 绿 → 亮黄</w:t>
      </w:r>
    </w:p>
    <w:p>
      <w:pPr>
        <w:spacing w:before="20" w:after="2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0"/>
        </w:rPr>
        <w:t xml:space="preserve">  浪高：深蓝 → 白</w:t>
      </w:r>
    </w:p>
    <w:p>
      <w:pPr>
        <w:spacing w:before="20" w:after="2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0"/>
        </w:rPr>
        <w:t xml:space="preserve">  流速 / 风速：深紫 → 蓝 → 青 → 绿 → 黄 → 橙 → 红（仿 Windy 风图层）</w:t>
      </w:r>
    </w:p>
    <w:p>
      <w:pPr>
        <w:spacing w:before="20" w:after="2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0"/>
        </w:rPr>
        <w:t xml:space="preserve">  地形/水深：深蓝 → 浅蓝渐变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3.3 Windy 动态粒子流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粒子系统完全重新设计，解决了原有静态问题：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核心修复：粒子不再渲染到 Cesium ImageMaterialProperty，而是绘制到独立的 &lt;canvas&gt; overlay（position:absolute; z-index:10）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Cesium SceneTransforms.worldToWindowCoordinates 将地理坐标实时投影到屏幕像素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2400 粒子，出生时间随机错开避免同步闪烁；18 帧淡入/淡出消除突然出现/消失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速度驱动色彩：慢流=深蓝/青，快流=橙/红（Windy 风速色带）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粒子背景修复：改为直接操作 ImageData.data[i+3] = Math.floor(alpha * 0.28)，彻底避免黑屏问题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3.4 像素级陆地掩膜（三层方案）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从格点级 → 像素级，彻底解决粗分辨率数据的海岸线染色问题：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07C41"/>
          </w:tcPr>
          <w:p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024"/>
            <w:shd w:val="clear" w:color="auto" w:fill="107C41"/>
          </w:tcPr>
          <w:p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024"/>
            <w:shd w:val="clear" w:color="auto" w:fill="107C41"/>
          </w:tcPr>
          <w:p>
            <w:r>
              <w:rPr>
                <w:b/>
                <w:color w:val="FFFFFF"/>
                <w:sz w:val="20"/>
              </w:rPr>
              <w:t>实现说明</w:t>
            </w:r>
          </w:p>
        </w:tc>
      </w:tr>
      <w:tr>
        <w:tc>
          <w:tcPr>
            <w:tcW w:type="dxa" w:w="3024"/>
            <w:shd w:val="clear" w:color="auto" w:fill="F0FBF4"/>
          </w:tcPr>
          <w:p>
            <w:r>
              <w:rPr>
                <w:b/>
                <w:sz w:val="19"/>
              </w:rPr>
              <w:t>第一层</w:t>
            </w:r>
          </w:p>
        </w:tc>
        <w:tc>
          <w:tcPr>
            <w:tcW w:type="dxa" w:w="3024"/>
            <w:shd w:val="clear" w:color="auto" w:fill="F0FBF4"/>
          </w:tcPr>
          <w:p>
            <w:r>
              <w:rPr>
                <w:b/>
                <w:color w:val="107C41"/>
                <w:sz w:val="19"/>
              </w:rPr>
              <w:t>后端格点掩膜</w:t>
            </w:r>
          </w:p>
        </w:tc>
        <w:tc>
          <w:tcPr>
            <w:tcW w:type="dxa" w:w="3024"/>
            <w:shd w:val="clear" w:color="auto" w:fill="F0FBF4"/>
          </w:tcPr>
          <w:p>
            <w:r>
              <w:rPr>
                <w:sz w:val="19"/>
              </w:rPr>
              <w:t>原有 ETOPO 逐格点 null 化，对高分辨率数据（如 SST 0.25°）有效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sz w:val="19"/>
              </w:rPr>
              <w:t>第二层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/>
                <w:color w:val="107C41"/>
                <w:sz w:val="19"/>
              </w:rPr>
              <w:t>后端高分辨率布尔掩膜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_compute_hires_land_mask()：从 ETOPO 采样 120×240 布尔网格，附在 API 响应 land_mask_hires 字段；numpy 向量化，比逐点 Python 快 50×</w:t>
            </w:r>
          </w:p>
        </w:tc>
      </w:tr>
      <w:tr>
        <w:tc>
          <w:tcPr>
            <w:tcW w:type="dxa" w:w="3024"/>
            <w:shd w:val="clear" w:color="auto" w:fill="F0FBF4"/>
          </w:tcPr>
          <w:p>
            <w:r>
              <w:rPr>
                <w:b/>
                <w:sz w:val="19"/>
              </w:rPr>
              <w:t>第三层</w:t>
            </w:r>
          </w:p>
        </w:tc>
        <w:tc>
          <w:tcPr>
            <w:tcW w:type="dxa" w:w="3024"/>
            <w:shd w:val="clear" w:color="auto" w:fill="F0FBF4"/>
          </w:tcPr>
          <w:p>
            <w:r>
              <w:rPr>
                <w:b/>
                <w:color w:val="107C41"/>
                <w:sz w:val="19"/>
              </w:rPr>
              <w:t>前端 topojson 像素掩膜</w:t>
            </w:r>
          </w:p>
        </w:tc>
        <w:tc>
          <w:tcPr>
            <w:tcW w:type="dxa" w:w="3024"/>
            <w:shd w:val="clear" w:color="auto" w:fill="F0FBF4"/>
          </w:tcPr>
          <w:p>
            <w:r>
              <w:rPr>
                <w:sz w:val="19"/>
              </w:rPr>
              <w:t>buildLandMaskBitmap()：加载 world-atlas 110m 多边形，绘制到 1024×512 offscreen canvas，逐像素后处理；与 ETOPO 完全解耦，全球通用，首次加载后按 bbox 缓存</w:t>
            </w:r>
          </w:p>
        </w:tc>
      </w:tr>
    </w:tbl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3.5 后端 nc_data.py 改进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_load_land_mask 静默异常改为分级 log.warning，错误原因可见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ETOPO 变量名检测从 "elevation/z" 扩展为 6 种候选名，覆盖更多格式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_is_land() 缓存 lat_min/lat_max 边界，消除每次调用的 O(n) min/max 扫描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numpy 向量化陆地掩膜快速路径，纯 Python 回退保持兼容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query_grid 返回 render_time_ms 字段，前端显示后端耗时</w:t>
      </w:r>
    </w:p>
    <w:p>
      <w:r>
        <w:br w:type="page"/>
      </w:r>
    </w:p>
    <w:p>
      <w:pPr>
        <w:spacing w:before="320" w:after="120"/>
        <w:jc w:val="left"/>
        <w:pBdr>
          <w:bottom w:val="single" w:sz="6" w:space="4" w:color="0F4C81"/>
        </w:pBdr>
      </w:pPr>
      <w:r>
        <w:rPr>
          <w:rFonts w:ascii="微软雅黑" w:hAnsi="微软雅黑"/>
          <w:b/>
          <w:i w:val="0"/>
          <w:color w:val="0F4C81"/>
          <w:sz w:val="36"/>
        </w:rPr>
        <w:t>四、技术栈全景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4. 前端框架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334455"/>
          </w:tcPr>
          <w:p>
            <w:r>
              <w:rPr>
                <w:b/>
                <w:color w:val="FFFFFF"/>
                <w:sz w:val="19"/>
              </w:rPr>
              <w:t>技术 / 组件</w:t>
            </w:r>
          </w:p>
        </w:tc>
        <w:tc>
          <w:tcPr>
            <w:tcW w:type="dxa" w:w="4536"/>
            <w:shd w:val="clear" w:color="auto" w:fill="334455"/>
          </w:tcPr>
          <w:p>
            <w:r>
              <w:rPr>
                <w:b/>
                <w:color w:val="FFFFFF"/>
                <w:sz w:val="19"/>
              </w:rPr>
              <w:t>用途说明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Vue 3.4 (CDN)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响应式 UI、Composition API、v-cloak、v-html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Cesium 1.122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45566"/>
                <w:sz w:val="19"/>
              </w:rPr>
              <w:t>三维地球、框选交互、ImageMaterialProperty 地理栅格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OpenLayers 10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二维小地图、ImageStatic 叠加层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topojson-client 3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45566"/>
                <w:sz w:val="19"/>
              </w:rPr>
              <w:t>Natural Earth 110m 多边形解析，像素级陆地掩膜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Canvas 2D API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gridCanvas / contourCanvas / pointCanvas / particleCanvas</w:t>
            </w:r>
          </w:p>
        </w:tc>
      </w:tr>
    </w:tbl>
    <w:p>
      <w:pPr>
        <w:spacing w:before="40" w:after="80"/>
        <w:jc w:val="left"/>
      </w:pP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4. 后端 &amp;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334455"/>
          </w:tcPr>
          <w:p>
            <w:r>
              <w:rPr>
                <w:b/>
                <w:color w:val="FFFFFF"/>
                <w:sz w:val="19"/>
              </w:rPr>
              <w:t>技术 / 组件</w:t>
            </w:r>
          </w:p>
        </w:tc>
        <w:tc>
          <w:tcPr>
            <w:tcW w:type="dxa" w:w="4536"/>
            <w:shd w:val="clear" w:color="auto" w:fill="334455"/>
          </w:tcPr>
          <w:p>
            <w:r>
              <w:rPr>
                <w:b/>
                <w:color w:val="FFFFFF"/>
                <w:sz w:val="19"/>
              </w:rPr>
              <w:t>用途说明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Python 3.11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主要后端语言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Flask 3.0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45566"/>
                <w:sz w:val="19"/>
              </w:rPr>
              <w:t>REST API + CORS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netCDF4 1.7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HDF5/NetCDF4 格式读写，ETOPO 高分辨率掩膜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numpy 2.1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45566"/>
                <w:sz w:val="19"/>
              </w:rPr>
              <w:t>向量化格点运算、陆地掩膜加速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Gunicorn 22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生产级 WSGI Server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ThreadingHTTPServer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45566"/>
                <w:sz w:val="19"/>
              </w:rPr>
              <w:t>GeoAgent SSE 流式服务（geo_api.py）</w:t>
            </w:r>
          </w:p>
        </w:tc>
      </w:tr>
    </w:tbl>
    <w:p>
      <w:pPr>
        <w:spacing w:before="40" w:after="80"/>
        <w:jc w:val="left"/>
      </w:pP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4. AI /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334455"/>
          </w:tcPr>
          <w:p>
            <w:r>
              <w:rPr>
                <w:b/>
                <w:color w:val="FFFFFF"/>
                <w:sz w:val="19"/>
              </w:rPr>
              <w:t>技术 / 组件</w:t>
            </w:r>
          </w:p>
        </w:tc>
        <w:tc>
          <w:tcPr>
            <w:tcW w:type="dxa" w:w="4536"/>
            <w:shd w:val="clear" w:color="auto" w:fill="334455"/>
          </w:tcPr>
          <w:p>
            <w:r>
              <w:rPr>
                <w:b/>
                <w:color w:val="FFFFFF"/>
                <w:sz w:val="19"/>
              </w:rPr>
              <w:t>用途说明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LangGraph ≥0.2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StateGraph 流水线，支持并行分支 + 条件边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LangChain Core ≥0.3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45566"/>
                <w:sz w:val="19"/>
              </w:rPr>
              <w:t>LLM 接口、Tool Calling、Message 标准化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DeepSeek Chat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LLM（Intent/Screening/Report/Critic 节点）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RAGFlow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45566"/>
                <w:sz w:val="19"/>
              </w:rPr>
              <w:t>向量知识库检索，PDF 全文解析，Hybrid Retrieval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本地知识库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JSON + Markdown 本地兜底，BM25-like 关键词匹配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arXiv Fetcher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45566"/>
                <w:sz w:val="19"/>
              </w:rPr>
              <w:t>自动拉取海洋学论文，沉淀到知识库</w:t>
            </w:r>
          </w:p>
        </w:tc>
      </w:tr>
    </w:tbl>
    <w:p>
      <w:pPr>
        <w:spacing w:before="40" w:after="80"/>
        <w:jc w:val="left"/>
      </w:pP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4. 空间数据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334455"/>
          </w:tcPr>
          <w:p>
            <w:r>
              <w:rPr>
                <w:b/>
                <w:color w:val="FFFFFF"/>
                <w:sz w:val="19"/>
              </w:rPr>
              <w:t>技术 / 组件</w:t>
            </w:r>
          </w:p>
        </w:tc>
        <w:tc>
          <w:tcPr>
            <w:tcW w:type="dxa" w:w="4536"/>
            <w:shd w:val="clear" w:color="auto" w:fill="334455"/>
          </w:tcPr>
          <w:p>
            <w:r>
              <w:rPr>
                <w:b/>
                <w:color w:val="FFFFFF"/>
                <w:sz w:val="19"/>
              </w:rPr>
              <w:t>用途说明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NetCDF4 / HDF5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SST、SSS、叶绿素、浪高、HYCOM 海流等数据格式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ETOPO 2022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45566"/>
                <w:sz w:val="19"/>
              </w:rPr>
              <w:t>30 arc-second 台湾区域地形/水深，用于陆地掩膜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GeoServer 3.0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WMS/WCS 扩展点，NetCDF 瓦片发布（预留）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OpenStreetMap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45566"/>
                <w:sz w:val="19"/>
              </w:rPr>
              <w:t>二维底图瓦片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world-atlas 110m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Natural Earth 简化海岸线 TopoJSON（像素掩膜）</w:t>
            </w:r>
          </w:p>
        </w:tc>
      </w:tr>
    </w:tbl>
    <w:p>
      <w:pPr>
        <w:spacing w:before="40" w:after="80"/>
        <w:jc w:val="left"/>
      </w:pP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4. 工程化 &amp; 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334455"/>
          </w:tcPr>
          <w:p>
            <w:r>
              <w:rPr>
                <w:b/>
                <w:color w:val="FFFFFF"/>
                <w:sz w:val="19"/>
              </w:rPr>
              <w:t>技术 / 组件</w:t>
            </w:r>
          </w:p>
        </w:tc>
        <w:tc>
          <w:tcPr>
            <w:tcW w:type="dxa" w:w="4536"/>
            <w:shd w:val="clear" w:color="auto" w:fill="334455"/>
          </w:tcPr>
          <w:p>
            <w:r>
              <w:rPr>
                <w:b/>
                <w:color w:val="FFFFFF"/>
                <w:sz w:val="19"/>
              </w:rPr>
              <w:t>用途说明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Docker Compose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4 服务编排：backend / geo-api / nginx / geoserver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Nginx 1.27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45566"/>
                <w:sz w:val="19"/>
              </w:rPr>
              <w:t>反向代理、静态文件服务、SSE 长连接配置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SQLite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会话存储（instance/）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Git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45566"/>
                <w:sz w:val="19"/>
              </w:rPr>
              <w:t>版本控制，GitHub 远程仓库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PowerShell / diagnose.ps1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Windows 本地诊断脚本</w:t>
            </w:r>
          </w:p>
        </w:tc>
      </w:tr>
    </w:tbl>
    <w:p>
      <w:pPr>
        <w:spacing w:before="40" w:after="80"/>
        <w:jc w:val="left"/>
      </w:pP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4. 计划引入（路线图）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334455"/>
          </w:tcPr>
          <w:p>
            <w:r>
              <w:rPr>
                <w:b/>
                <w:color w:val="FFFFFF"/>
                <w:sz w:val="19"/>
              </w:rPr>
              <w:t>技术 / 组件</w:t>
            </w:r>
          </w:p>
        </w:tc>
        <w:tc>
          <w:tcPr>
            <w:tcW w:type="dxa" w:w="4536"/>
            <w:shd w:val="clear" w:color="auto" w:fill="334455"/>
          </w:tcPr>
          <w:p>
            <w:r>
              <w:rPr>
                <w:b/>
                <w:color w:val="FFFFFF"/>
                <w:sz w:val="19"/>
              </w:rPr>
              <w:t>用途说明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MCP SDK (Python)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Model Context Protocol Server，暴露海洋数据工具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A2A Protocol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45566"/>
                <w:sz w:val="19"/>
              </w:rPr>
              <w:t>Google Agent-to-Agent 规范，多 Agent 联邦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Redis + RQ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异步任务队列，长时 Agent 任务异步化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OpenTelemetry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45566"/>
                <w:sz w:val="19"/>
              </w:rPr>
              <w:t>分布式追踪，逐节点 latency + token 消耗监控</w:t>
            </w:r>
          </w:p>
        </w:tc>
      </w:tr>
      <w:tr>
        <w:tc>
          <w:tcPr>
            <w:tcW w:type="dxa" w:w="4536"/>
            <w:shd w:val="clear" w:color="auto" w:fill="F5F8FC"/>
          </w:tcPr>
          <w:p>
            <w:r>
              <w:rPr>
                <w:b/>
                <w:color w:val="0F4C81"/>
                <w:sz w:val="19"/>
              </w:rPr>
              <w:t>RAGAS</w:t>
            </w:r>
          </w:p>
        </w:tc>
        <w:tc>
          <w:tcPr>
            <w:tcW w:type="dxa" w:w="4536"/>
            <w:shd w:val="clear" w:color="auto" w:fill="F5F8FC"/>
          </w:tcPr>
          <w:p>
            <w:r>
              <w:rPr>
                <w:color w:val="445566"/>
                <w:sz w:val="19"/>
              </w:rPr>
              <w:t>检索增强生成评测框架（Faithfulness / Answer Relevance）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color w:val="0F4C81"/>
                <w:sz w:val="19"/>
              </w:rPr>
              <w:t>Cross-Encoder Reranker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color w:val="445566"/>
                <w:sz w:val="19"/>
              </w:rPr>
              <w:t>检索结果重排，提升引用精度</w:t>
            </w:r>
          </w:p>
        </w:tc>
      </w:tr>
    </w:tbl>
    <w:p>
      <w:pPr>
        <w:spacing w:before="40" w:after="80"/>
        <w:jc w:val="left"/>
      </w:pPr>
    </w:p>
    <w:p>
      <w:r>
        <w:br w:type="page"/>
      </w:r>
    </w:p>
    <w:p>
      <w:pPr>
        <w:spacing w:before="320" w:after="120"/>
        <w:jc w:val="left"/>
        <w:pBdr>
          <w:bottom w:val="single" w:sz="6" w:space="4" w:color="0F4C81"/>
        </w:pBdr>
      </w:pPr>
      <w:r>
        <w:rPr>
          <w:rFonts w:ascii="微软雅黑" w:hAnsi="微软雅黑"/>
          <w:b/>
          <w:i w:val="0"/>
          <w:color w:val="0F4C81"/>
          <w:sz w:val="36"/>
        </w:rPr>
        <w:t>五、完善路线图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Phase 2 — NetCDF 数据层完善（1-2 周）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/>
          <w:color w:val="445566"/>
          <w:sz w:val="21"/>
        </w:rPr>
        <w:t>目标：解锁时间轴动画和真实矢量场粒子流，是最直观的演示升级。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时间轴滑条：query 接口新增 time_index / depth_index 参数，前端加播放按钮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深度层选择：下拉选择 3D 数据集（如 HYCOM）的深度层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真实矢量场接口：POST /api/ocean/vector-field 联合返回 u_grid / v_grid / speed_grid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NC 文件 LRU 缓存：@lru_cache(maxsize=32)，避免大文件重复读取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下载真实 HYCOM u/v 数据 → 粒子流真正流动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Phase 3 — RAGFlow 深度集成（2-3 周）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/>
          <w:color w:val="445566"/>
          <w:sz w:val="21"/>
        </w:rPr>
        <w:t>目标：提升知识检索质量和可管理性，支持全文 PDF 解析。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知识库管理 API：/api/rag/upload、/api/rag/sync-local、/api/rag/documents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混合检索（Hybrid Retrieval）：RAGFlow Dense 向量 + 本地 BM25，RRF 融合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Cross-encoder 重排：在检索结果上用轻量交叉编码器重新打分，top-k 精度提升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引用验证：CriticNode 确保报告每条引用都能追溯到具体片段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知识库内容计划：IPCC AR6、NOAA 文档、arXiv 持续入库（已有自动拉取框架）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Phase 4 — 多 Agent 架构升级（3-4 周）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/>
          <w:color w:val="445566"/>
          <w:sz w:val="21"/>
        </w:rPr>
        <w:t>目标：Agent 持久化、并发、新增专域 Agent，支持复杂问题拆解。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LangGraph SqliteSaver 持久化：会话断点续传，human-in-the-loop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新增 DataAgent：专门处理 NetCDF / ERDDAP / OPeNDAP 查询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新增 LiteratureAgent：arXiv + Semantic Scholar 实时文献搜索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新增 PlannerAgent：分解复杂问题，并行协调多个子 Agent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新增 EvaluatorAgent：RAGAS 指标自动评分（Faithfulness / Answer Relevance）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工具注册表（Tool Registry）：动态加载工具，权限控制，调用追踪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Phase 5 — MCP 服务器（2 周）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/>
          <w:color w:val="445566"/>
          <w:sz w:val="21"/>
        </w:rPr>
        <w:t>目标：将海洋数据能力暴露为 MCP 工具，接入 Claude Desktop 等客户端。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/>
          <w:color w:val="445566"/>
          <w:sz w:val="20"/>
        </w:rPr>
        <w:t>MCP（Model Context Protocol）是 Anthropic 提出的开放标准，允许 LLM 应用程序动态连接外部工具和数据源，无需硬编码集成。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新建 mcp_server.py，实现 MCP stdio/SSE 传输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暴露工具：query_ocean_data、run_ocean_report、list_datasets、search_literature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暴露资源：ocean://datasets、ocean://knowledge（实时数据引用）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Claude Desktop 配置生成：claude_desktop_config.json 片段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GeoAgent 作为 MCP 客户端：调用 Brave Search MCP 获取实时文献</w:t>
      </w:r>
    </w:p>
    <w:p>
      <w:pPr>
        <w:spacing w:before="80" w:after="80"/>
        <w:ind w:left="567"/>
        <w:shd w:val="clear" w:fill="EEF4F8"/>
      </w:pPr>
      <w:r>
        <w:rPr>
          <w:rFonts w:ascii="Courier New" w:hAnsi="Courier New"/>
          <w:color w:val="205070"/>
          <w:sz w:val="18"/>
        </w:rPr>
        <w:t>// claude_desktop_config.json</w:t>
        <w:br/>
        <w:t>"mcpServers": {</w:t>
        <w:br/>
        <w:t xml:space="preserve">  "ocean-geo-agent": {</w:t>
        <w:br/>
        <w:t xml:space="preserve">    "command": "python",</w:t>
        <w:br/>
        <w:t xml:space="preserve">    "args": ["mcp_server.py"],</w:t>
        <w:br/>
        <w:t xml:space="preserve">    "env": { "DEEPSEEK_API_KEY": "..." }</w:t>
        <w:br/>
        <w:t xml:space="preserve">  }</w:t>
        <w:br/>
        <w:t>}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Phase 6 — A2A 协议（2 周）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/>
          <w:color w:val="445566"/>
          <w:sz w:val="21"/>
        </w:rPr>
        <w:t>目标：实现标准化的 Agent 间通信协议，支持多 Agent 联邦。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/>
          <w:color w:val="445566"/>
          <w:sz w:val="20"/>
        </w:rPr>
        <w:t>A2A（Agent-to-Agent）是 Google 提出的多 Agent 互操作协议，通过 AgentCard 描述能力，通过 Task 管理实现跨 Agent 任务分发。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完整 A2A 端点：POST /a2a/tasks、GET /a2a/tasks/{id}、DELETE /a2a/tasks/{id}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SSE 事件流：GET /a2a/tasks/{id}/events，实时推送 Agent 执行进度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AgentCard 完善：skills（marine/biology/navigation/stargazing）+ capabilities 完整描述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多 Agent 联邦场景：PlannerAgent 并行路由 OceanAgent + BiologyAgent + NavigationAgent，结果合并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AgentCard 发现机制：/.well-known/agent-card.json 遵循 W3C DID 风格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8"/>
        </w:rPr>
        <w:t>Phase 7 — 基础设施工程化（贯穿全程）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/>
          <w:color w:val="445566"/>
          <w:sz w:val="21"/>
        </w:rPr>
        <w:t>目标：支撑生产级并发、可观测性和可维护性。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Redis + RQ：长时间 Agent 任务异步入队，前端 SSE 轮询进度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OpenTelemetry：每个 Agent 节点追踪耗时 + token 消耗，接入 Jaeger 可视化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Prometheus + Grafana：暴露 /metrics 端点，监控 QPS / 错误率 / latency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结构化日志：JSON 格式，便于 ELK 栈分析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Docker 多阶段构建：减小镜像体积，增加健康检查（含 LLM API 连通性）</w:t>
      </w:r>
    </w:p>
    <w:p>
      <w:pPr>
        <w:spacing w:before="40" w:after="40"/>
        <w:ind w:left="283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• API 版本化：/api/v1/ 前缀 + OpenAPI 3.0 自动文档</w:t>
      </w:r>
    </w:p>
    <w:p>
      <w:r>
        <w:br w:type="page"/>
      </w:r>
    </w:p>
    <w:p>
      <w:pPr>
        <w:spacing w:before="320" w:after="120"/>
        <w:jc w:val="left"/>
        <w:pBdr>
          <w:bottom w:val="single" w:sz="6" w:space="4" w:color="0F4C81"/>
        </w:pBdr>
      </w:pPr>
      <w:r>
        <w:rPr>
          <w:rFonts w:ascii="微软雅黑" w:hAnsi="微软雅黑"/>
          <w:b/>
          <w:i w:val="0"/>
          <w:color w:val="0F4C81"/>
          <w:sz w:val="36"/>
        </w:rPr>
        <w:t>六、优先级矩阵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按演示价值 × 实现难度综合排序，确定各功能开发顺序：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1814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814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实现难度</w:t>
            </w:r>
          </w:p>
        </w:tc>
        <w:tc>
          <w:tcPr>
            <w:tcW w:type="dxa" w:w="1814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演示价值</w:t>
            </w:r>
          </w:p>
        </w:tc>
        <w:tc>
          <w:tcPr>
            <w:tcW w:type="dxa" w:w="1814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814"/>
            <w:shd w:val="clear" w:color="auto" w:fill="F8FBFF"/>
          </w:tcPr>
          <w:p>
            <w:r>
              <w:rPr>
                <w:b/>
                <w:sz w:val="18"/>
              </w:rPr>
              <w:t>topojson 像素陆地掩膜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color w:val="107C41"/>
                <w:sz w:val="18"/>
              </w:rPr>
              <w:t>✅ 已完成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b/>
                <w:sz w:val="18"/>
              </w:rPr>
              <w:t>NetCDF 时间轴动画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⬜ 待实现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color w:val="C02020"/>
                <w:sz w:val="18"/>
              </w:rPr>
              <w:t>🔴 立即</w:t>
            </w:r>
          </w:p>
        </w:tc>
      </w:tr>
      <w:tr>
        <w:tc>
          <w:tcPr>
            <w:tcW w:type="dxa" w:w="1814"/>
            <w:shd w:val="clear" w:color="auto" w:fill="F8FBFF"/>
          </w:tcPr>
          <w:p>
            <w:r>
              <w:rPr>
                <w:b/>
                <w:sz w:val="18"/>
              </w:rPr>
              <w:t>真实 u/v 矢量场粒子流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⬜ 待实现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color w:val="C02020"/>
                <w:sz w:val="18"/>
              </w:rPr>
              <w:t>🔴 立即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b/>
                <w:sz w:val="18"/>
              </w:rPr>
              <w:t>MCP Server（基础版）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⬜ 待实现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color w:val="C05A00"/>
                <w:sz w:val="18"/>
              </w:rPr>
              <w:t>🟠 近期</w:t>
            </w:r>
          </w:p>
        </w:tc>
      </w:tr>
      <w:tr>
        <w:tc>
          <w:tcPr>
            <w:tcW w:type="dxa" w:w="1814"/>
            <w:shd w:val="clear" w:color="auto" w:fill="F8FBFF"/>
          </w:tcPr>
          <w:p>
            <w:r>
              <w:rPr>
                <w:b/>
                <w:sz w:val="18"/>
              </w:rPr>
              <w:t>RAGFlow 知识库管理 UI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⬜ 待实现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color w:val="C05A00"/>
                <w:sz w:val="18"/>
              </w:rPr>
              <w:t>🟠 近期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b/>
                <w:sz w:val="18"/>
              </w:rPr>
              <w:t>混合检索 + Reranker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⬜ 待实现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color w:val="B88600"/>
                <w:sz w:val="18"/>
              </w:rPr>
              <w:t>🟡 中期</w:t>
            </w:r>
          </w:p>
        </w:tc>
      </w:tr>
      <w:tr>
        <w:tc>
          <w:tcPr>
            <w:tcW w:type="dxa" w:w="1814"/>
            <w:shd w:val="clear" w:color="auto" w:fill="F8FBFF"/>
          </w:tcPr>
          <w:p>
            <w:r>
              <w:rPr>
                <w:b/>
                <w:sz w:val="18"/>
              </w:rPr>
              <w:t>LangGraph 持久化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⬜ 待实现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color w:val="B88600"/>
                <w:sz w:val="18"/>
              </w:rPr>
              <w:t>🟡 中期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b/>
                <w:sz w:val="18"/>
              </w:rPr>
              <w:t>A2A 完整协议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⬜ 待实现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中高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color w:val="B88600"/>
                <w:sz w:val="18"/>
              </w:rPr>
              <w:t>🟡 中期</w:t>
            </w:r>
          </w:p>
        </w:tc>
      </w:tr>
      <w:tr>
        <w:tc>
          <w:tcPr>
            <w:tcW w:type="dxa" w:w="1814"/>
            <w:shd w:val="clear" w:color="auto" w:fill="F8FBFF"/>
          </w:tcPr>
          <w:p>
            <w:r>
              <w:rPr>
                <w:b/>
                <w:sz w:val="18"/>
              </w:rPr>
              <w:t>新增 PlannerAgent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⬜ 待实现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color w:val="B88600"/>
                <w:sz w:val="18"/>
              </w:rPr>
              <w:t>🟡 中期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b/>
                <w:sz w:val="18"/>
              </w:rPr>
              <w:t>Redis + RQ 任务队列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⬜ 待实现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color w:val="107C41"/>
                <w:sz w:val="18"/>
              </w:rPr>
              <w:t>🟢 长期</w:t>
            </w:r>
          </w:p>
        </w:tc>
      </w:tr>
      <w:tr>
        <w:tc>
          <w:tcPr>
            <w:tcW w:type="dxa" w:w="1814"/>
            <w:shd w:val="clear" w:color="auto" w:fill="F8FBFF"/>
          </w:tcPr>
          <w:p>
            <w:r>
              <w:rPr>
                <w:b/>
                <w:sz w:val="18"/>
              </w:rPr>
              <w:t>多 Agent 联邦演示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⬜ 待实现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很高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814"/>
            <w:shd w:val="clear" w:color="auto" w:fill="F8FBFF"/>
          </w:tcPr>
          <w:p>
            <w:r>
              <w:rPr>
                <w:color w:val="107C41"/>
                <w:sz w:val="18"/>
              </w:rPr>
              <w:t>🟢 长期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b/>
                <w:sz w:val="18"/>
              </w:rPr>
              <w:t>OpenTelemetry 追踪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⬜ 待实现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color w:val="107C41"/>
                <w:sz w:val="18"/>
              </w:rPr>
              <w:t>🟢 长期</w:t>
            </w:r>
          </w:p>
        </w:tc>
      </w:tr>
    </w:tbl>
    <w:p>
      <w:pPr>
        <w:spacing w:before="320" w:after="120"/>
        <w:jc w:val="left"/>
        <w:pBdr>
          <w:bottom w:val="single" w:sz="6" w:space="4" w:color="0F4C81"/>
        </w:pBdr>
      </w:pPr>
      <w:r>
        <w:rPr>
          <w:rFonts w:ascii="微软雅黑" w:hAnsi="微软雅黑"/>
          <w:b/>
          <w:i w:val="0"/>
          <w:color w:val="0F4C81"/>
          <w:sz w:val="36"/>
        </w:rPr>
        <w:t>七、关键技术选型说明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4"/>
        </w:rPr>
        <w:t>LangGraph vs 自研 Agent 框架</w:t>
      </w:r>
    </w:p>
    <w:p>
      <w:pPr>
        <w:spacing w:before="0" w:after="160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LangGraph 提供 StateGraph、条件边、并行分支、持久化检查点等开箱即用能力，避免重复实现 Agent 生命周期管理。同时保留线性降级路径（run_linear()），在无法安装 langgraph 时仍可运行。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4"/>
        </w:rPr>
        <w:t>DeepSeek 而非 OpenAI</w:t>
      </w:r>
    </w:p>
    <w:p>
      <w:pPr>
        <w:spacing w:before="0" w:after="160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成本效益：DeepSeek-chat 单 token 成本约为 GPT-4 的 1/10，且具备完整的Function Calling 和 JSON Mode 支持。系统通过兼容 OpenAI 接口接入，后续可无缝切换任意兼容模型。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4"/>
        </w:rPr>
        <w:t>RAGFlow 而非自建向量库</w:t>
      </w:r>
    </w:p>
    <w:p>
      <w:pPr>
        <w:spacing w:before="0" w:after="160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RAGFlow 集成了文档解析（PDF/Word/HTML）、向量索引（FAISS/Milvus）、混合检索和 Web UI 管理界面，减少重复基础设施建设。本地 JSON 知识库作为离线兜底，保证无 RAGFlow 时仍可演示。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4"/>
        </w:rPr>
        <w:t>MCP vs 自定义 API</w:t>
      </w:r>
    </w:p>
    <w:p>
      <w:pPr>
        <w:spacing w:before="0" w:after="160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MCP 是 Anthropic 推动的开放标准，已被 Claude Desktop、Continue.dev、Cursor 等主流工具支持。实现 MCP Server 后，系统可被任何 MCP 兼容客户端直接调用，避免重复对接各平台自定义 API。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4"/>
        </w:rPr>
        <w:t>A2A vs 自定义 Agent 间通信</w:t>
      </w:r>
    </w:p>
    <w:p>
      <w:pPr>
        <w:spacing w:before="0" w:after="160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Google A2A 协议正在成为行业标准，支持 AgentCard 能力描述、Task 生命周期管理、SSE 事件流。遵循标准协议的 Agent 可被第三方 Orchestrator 发现和调用，形成真正的 Agent 生态互操作。</w:t>
      </w:r>
    </w:p>
    <w:p>
      <w:pPr>
        <w:spacing w:before="200" w:after="120"/>
        <w:jc w:val="left"/>
      </w:pPr>
      <w:r>
        <w:rPr>
          <w:rFonts w:ascii="微软雅黑" w:hAnsi="微软雅黑"/>
          <w:b/>
          <w:i w:val="0"/>
          <w:color w:val="0F4C81"/>
          <w:sz w:val="24"/>
        </w:rPr>
        <w:t>topojson + world-atlas 而非 ETOPO 前端掩膜</w:t>
      </w:r>
    </w:p>
    <w:p>
      <w:pPr>
        <w:spacing w:before="0" w:after="160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ETOPO 文件依赖 netCDF4 安装且仅覆盖台湾区域；topojson 方案完全在浏览器端运行，加载 28KB TopoJSON 后即可对全球任意 bbox 做准确的像素级掩膜，首次后按 bbox 缓存，切换渲染模式时零额外开销。</w:t>
      </w:r>
    </w:p>
    <w:p>
      <w:r>
        <w:br w:type="page"/>
      </w:r>
    </w:p>
    <w:p>
      <w:pPr>
        <w:spacing w:before="320" w:after="120"/>
        <w:jc w:val="left"/>
        <w:pBdr>
          <w:bottom w:val="single" w:sz="6" w:space="4" w:color="0F4C81"/>
        </w:pBdr>
      </w:pPr>
      <w:r>
        <w:rPr>
          <w:rFonts w:ascii="微软雅黑" w:hAnsi="微软雅黑"/>
          <w:b/>
          <w:i w:val="0"/>
          <w:color w:val="0F4C81"/>
          <w:sz w:val="36"/>
        </w:rPr>
        <w:t>八、演示与答辩要点</w:t>
      </w:r>
    </w:p>
    <w:p>
      <w:pPr>
        <w:spacing w:before="0" w:after="120"/>
        <w:jc w:val="left"/>
      </w:pPr>
      <w:r>
        <w:rPr>
          <w:rFonts w:ascii="微软雅黑" w:hAnsi="微软雅黑"/>
          <w:b w:val="0"/>
          <w:i w:val="0"/>
          <w:color w:val="000000"/>
          <w:sz w:val="21"/>
        </w:rPr>
        <w:t>建议按以下四条线展开系统介绍：</w:t>
      </w:r>
    </w:p>
    <w:p>
      <w:pPr>
        <w:spacing w:before="80" w:after="120"/>
        <w:ind w:left="283"/>
      </w:pPr>
      <w:r>
        <w:rPr>
          <w:b/>
          <w:color w:val="0F4C81"/>
          <w:sz w:val="22"/>
        </w:rPr>
        <w:t>第一条线 — 空间数据线：</w:t>
      </w:r>
      <w:r>
        <w:rPr>
          <w:color w:val="445566"/>
          <w:sz w:val="21"/>
        </w:rPr>
        <w:t>前端框选 bbox → 后端 NetCDF bbox 切片 → 降采样 → 统计 → 三层陆地掩膜（格点/高分辨率布尔/topojson 像素） → Cesium 三维渲染</w:t>
      </w:r>
    </w:p>
    <w:p>
      <w:pPr>
        <w:spacing w:before="80" w:after="120"/>
        <w:ind w:left="283"/>
      </w:pPr>
      <w:r>
        <w:rPr>
          <w:b/>
          <w:color w:val="0F4C81"/>
          <w:sz w:val="22"/>
        </w:rPr>
        <w:t>第二条线 — 渲染可信线：</w:t>
      </w:r>
      <w:r>
        <w:rPr>
          <w:color w:val="445566"/>
          <w:sz w:val="21"/>
        </w:rPr>
        <w:t>按变量类型（scalar/vector/relief）限制渲染模式，避免标量数据伪造粒子流；Windy 色带按变量自动选配；粒子流必须由真实 u/v 驱动</w:t>
      </w:r>
    </w:p>
    <w:p>
      <w:pPr>
        <w:spacing w:before="80" w:after="120"/>
        <w:ind w:left="283"/>
      </w:pPr>
      <w:r>
        <w:rPr>
          <w:b/>
          <w:color w:val="0F4C81"/>
          <w:sz w:val="22"/>
        </w:rPr>
        <w:t>第三条线 — 知识检索线：</w:t>
      </w:r>
      <w:r>
        <w:rPr>
          <w:color w:val="445566"/>
          <w:sz w:val="21"/>
        </w:rPr>
        <w:t>RAGFlow 优先（dense 向量检索）→ 本地 JSON 兜底（关键词匹配）→ 证据筛选（keep/pass 二分）→ 引用来源 + 页码 + 知识库名称全链路展示</w:t>
      </w:r>
    </w:p>
    <w:p>
      <w:pPr>
        <w:spacing w:before="80" w:after="120"/>
        <w:ind w:left="283"/>
      </w:pPr>
      <w:r>
        <w:rPr>
          <w:b/>
          <w:color w:val="0F4C81"/>
          <w:sz w:val="22"/>
        </w:rPr>
        <w:t>第四条线 — Agent 推理线：</w:t>
      </w:r>
      <w:r>
        <w:rPr>
          <w:color w:val="445566"/>
          <w:sz w:val="21"/>
        </w:rPr>
        <w:t>Intent（领域识别）→ Retrieval+Context（并行）→ Screening（证据过滤）→ Reasoning（阈值推理）→ Report（流式生成）→ Critic（质量反思）形成闭环</w:t>
      </w:r>
    </w:p>
    <w:p>
      <w:pPr>
        <w:spacing w:before="80" w:after="80"/>
        <w:pBdr>
          <w:bottom w:val="single" w:sz="4" w:color="CCDDEE"/>
        </w:pBdr>
      </w:pPr>
    </w:p>
    <w:p>
      <w:pPr>
        <w:spacing w:before="80" w:after="120"/>
        <w:jc w:val="left"/>
      </w:pPr>
    </w:p>
    <w:p>
      <w:pPr>
        <w:spacing w:before="120"/>
        <w:ind w:left="283"/>
      </w:pPr>
      <w:r>
        <w:rPr>
          <w:b/>
          <w:color w:val="0F4C81"/>
          <w:sz w:val="24"/>
        </w:rPr>
        <w:t>一句话总结：</w:t>
      </w:r>
      <w:r>
        <w:rPr>
          <w:i/>
          <w:color w:val="445566"/>
          <w:sz w:val="24"/>
        </w:rPr>
        <w:t>我不是把大模型接到地图上，而是把空间数据、海洋知识库和多 Agent 推理做成一条可解释、可降级、可排障的海洋风险分析链路。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5566"/>
        <w:sz w:val="16"/>
      </w:rPr>
      <w:t>海洋数字地球系统 — 技术总结与完善路线图  |  内部技术文档  |  2026-06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