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50" w:line="240" w:lineRule="auto"/>
      </w:pPr>
      <w:r>
        <w:rPr>
          <w:rFonts w:ascii="Times New Roman" w:hAnsi="Times New Roman" w:eastAsia="Times New Roman"/>
          <w:b/>
          <w:color w:val="000000"/>
          <w:sz w:val="26"/>
        </w:rPr>
        <w:t>2. Kajian Teori</w:t>
      </w:r>
    </w:p>
    <w:p>
      <w:pPr>
        <w:keepNext/>
        <w:spacing w:before="160" w:after="50" w:line="240" w:lineRule="auto"/>
      </w:pPr>
      <w:r>
        <w:rPr>
          <w:rFonts w:ascii="Times New Roman" w:hAnsi="Times New Roman" w:eastAsia="Times New Roman"/>
          <w:b/>
          <w:color w:val="000000"/>
          <w:sz w:val="22"/>
        </w:rPr>
        <w:t>2.1  Karakteristik Epidemiologis Basal Stem Rot (BSR)</w:t>
      </w:r>
    </w:p>
    <w:p>
      <w:pPr>
        <w:spacing w:before="0" w:after="100" w:line="240" w:lineRule="auto"/>
        <w:jc w:val="both"/>
      </w:pPr>
      <w:r>
        <w:rPr>
          <w:rFonts w:ascii="Times New Roman" w:hAnsi="Times New Roman" w:eastAsia="Times New Roman"/>
          <w:b w:val="0"/>
          <w:i w:val="0"/>
          <w:color w:val="000000"/>
          <w:sz w:val="21"/>
        </w:rPr>
        <w:t xml:space="preserve">BSR, penyakit busuk pangkal batang akibat </w:t>
      </w:r>
      <w:r>
        <w:rPr>
          <w:rFonts w:ascii="Times New Roman" w:hAnsi="Times New Roman" w:eastAsia="Times New Roman"/>
          <w:b w:val="0"/>
          <w:i/>
          <w:color w:val="000000"/>
          <w:sz w:val="21"/>
        </w:rPr>
        <w:t>Ganoderma boninense</w:t>
      </w:r>
      <w:r>
        <w:rPr>
          <w:rFonts w:ascii="Times New Roman" w:hAnsi="Times New Roman" w:eastAsia="Times New Roman"/>
          <w:b w:val="0"/>
          <w:i w:val="0"/>
          <w:color w:val="000000"/>
          <w:sz w:val="21"/>
        </w:rPr>
        <w:t>, menular melalui lebih dari satu jalur. Infeksi lewat kontak langsung antar sistem perakaran pohon yang berdekatan terdokumentasi secara mikroskopis, mulai dari penetrasi akar sampai invasi pangkal batang [15]. Namun basidiospora juga terbukti berperan sebagai sumber inokulum, dan pohon bergejala yang bertetangga kerap membawa isolat yang berbeda secara genetik, sehingga penularan vegetatif lewat akar tidak dapat diklaim sebagai jalur tunggal [16]. Kedua temuan itu tidak saling meniadakan. Keduanya sama-sama menempatkan kedekatan spasial antar pohon sebagai faktor penentu pola penyebaran, dan hanya yang pertama yang menamainya kontak akar. Penelitian ini karena itu merepresentasikan kebun sebagai graf kedekatan yang berlaku sebagai proksi kontak, yaitu tiap pohon sebagai simpul dan jarak di bawah ambang tertentu sebagai sisi, tanpa mengklaim satu mekanisme tunggal. Kesimpulan yang ditarik tetap sahih pada kedua penjelasan.</w:t>
      </w:r>
    </w:p>
    <w:p>
      <w:pPr>
        <w:spacing w:before="0" w:after="100" w:line="240" w:lineRule="auto"/>
        <w:jc w:val="both"/>
      </w:pPr>
      <w:r>
        <w:rPr>
          <w:rFonts w:ascii="Times New Roman" w:hAnsi="Times New Roman" w:eastAsia="Times New Roman"/>
          <w:b w:val="0"/>
          <w:i w:val="0"/>
          <w:color w:val="000000"/>
          <w:sz w:val="21"/>
        </w:rPr>
        <w:t>Sifat kedua yang menentukan rumusan masalah adalah fase asimptomatik yang panjang. Jaringan pengangkut air di pangkal batang melapuk secara bertahap, sementara tajuk masih tampak normal selama berbulan-bulan hingga bertahun-tahun [1], [3]. Gejala eksternal baru terlihat setelah kerusakan sudah lanjut, pada titik pohon praktis tidak dapat diselamatkan [1]. Ini menjustifikasi rumusan masalah, yaitu bukan mendeteksi pohon yang sudah sakit, melainkan meramalkan pohon sehat mana yang berisiko tertular berikutnya.</w:t>
      </w:r>
    </w:p>
    <w:p>
      <w:pPr>
        <w:spacing w:before="0" w:after="100" w:line="240" w:lineRule="auto"/>
        <w:jc w:val="both"/>
      </w:pPr>
      <w:r>
        <w:rPr>
          <w:rFonts w:ascii="Times New Roman" w:hAnsi="Times New Roman" w:eastAsia="Times New Roman"/>
          <w:b w:val="0"/>
          <w:i w:val="0"/>
          <w:color w:val="000000"/>
          <w:sz w:val="21"/>
        </w:rPr>
        <w:t>Karakteristik ketiga menyangkut cara data lapangan longitudinal diperlakukan. Tisné dkk. [2] menunjukkan bahwa data kesehatan pohon sawit yang diamati berkala selama puluhan tahun paling tepat dianalisis sebagai data ketahanan, karena sebagian pohon belum bergejala saat pengamatan berakhir, bukan karena pasti sehat. Fenomena ini disebut penyensoran kanan: pohon yang belum bergejala harus dikeluarkan dari himpunan risiko, bukan dilabeli sehat.</w:t>
      </w:r>
    </w:p>
    <w:p>
      <w:pPr>
        <w:spacing w:before="0" w:after="100" w:line="240" w:lineRule="auto"/>
        <w:jc w:val="both"/>
      </w:pPr>
      <w:r>
        <w:rPr>
          <w:rFonts w:ascii="Times New Roman" w:hAnsi="Times New Roman" w:eastAsia="Times New Roman"/>
          <w:b w:val="0"/>
          <w:i w:val="0"/>
          <w:color w:val="000000"/>
          <w:sz w:val="21"/>
        </w:rPr>
        <w:t>Populasi yang diamati pada studi semacam ini umumnya bersifat multiparental, sengaja dirancang memvariasikan ketahanan genetik [2]. Kekerabatan genetik karena itu berpotensi menjadi perancu, sebab famili yang lebih rentan mungkin ditanam berdekatan sehingga korelasi spasial gejala bisa mencerminkan kesamaan genetik dan bukan semata penularan. Genotipe perlu diperlakukan sebagai kovariat yang dikendalikan pada semua model, termasuk garis dasar.</w:t>
      </w:r>
    </w:p>
    <w:p>
      <w:pPr>
        <w:keepNext/>
        <w:spacing w:before="160" w:after="50" w:line="240" w:lineRule="auto"/>
      </w:pPr>
      <w:r>
        <w:rPr>
          <w:rFonts w:ascii="Times New Roman" w:hAnsi="Times New Roman" w:eastAsia="Times New Roman"/>
          <w:b/>
          <w:color w:val="000000"/>
          <w:sz w:val="22"/>
        </w:rPr>
        <w:t>2.2  Ekstraksi Fitur Spasial dari Citra UAV</w:t>
      </w:r>
    </w:p>
    <w:p>
      <w:pPr>
        <w:spacing w:before="0" w:after="100" w:line="240" w:lineRule="auto"/>
        <w:jc w:val="both"/>
      </w:pPr>
      <w:r>
        <w:rPr>
          <w:rFonts w:ascii="Times New Roman" w:hAnsi="Times New Roman" w:eastAsia="Times New Roman"/>
          <w:b w:val="0"/>
          <w:i w:val="0"/>
          <w:color w:val="000000"/>
          <w:sz w:val="21"/>
        </w:rPr>
        <w:t xml:space="preserve">Tahap pertama adalah menemukan dan menandai posisi tiap tajuk secara presisi. Pendekatan </w:t>
      </w:r>
      <w:r>
        <w:rPr>
          <w:rFonts w:ascii="Times New Roman" w:hAnsi="Times New Roman" w:eastAsia="Times New Roman"/>
          <w:b w:val="0"/>
          <w:i/>
          <w:color w:val="000000"/>
          <w:sz w:val="21"/>
        </w:rPr>
        <w:t>object detection</w:t>
      </w:r>
      <w:r>
        <w:rPr>
          <w:rFonts w:ascii="Times New Roman" w:hAnsi="Times New Roman" w:eastAsia="Times New Roman"/>
          <w:b w:val="0"/>
          <w:i w:val="0"/>
          <w:color w:val="000000"/>
          <w:sz w:val="21"/>
        </w:rPr>
        <w:t>, khususnya keluarga arsitektur YOLO, terbukti efektif untuk tugas ini pada citra kanopi UAV. Hao dkk. [5] mendemonstrasikan model berbasis YOLO untuk mendeteksi dan menghitung pohon dari citra UAV pada skala kebun, dengan pendekatan satu-tahap yang mengutamakan efisiensi komputasi.</w:t>
      </w:r>
    </w:p>
    <w:p>
      <w:pPr>
        <w:spacing w:before="0" w:after="100" w:line="240" w:lineRule="auto"/>
        <w:jc w:val="both"/>
      </w:pPr>
      <w:r>
        <w:rPr>
          <w:rFonts w:ascii="Times New Roman" w:hAnsi="Times New Roman" w:eastAsia="Times New Roman"/>
          <w:b w:val="0"/>
          <w:i w:val="0"/>
          <w:color w:val="000000"/>
          <w:sz w:val="21"/>
        </w:rPr>
        <w:t xml:space="preserve">Tahap berikutnya menilai kondisi kesehatan tajuk. Abbas dkk. [4] merangkum bahwa spektrum RGB maupun multispektral UAV dapat menangkap perubahan warna daun terkait tingkat klorofil dan stres tanaman, dan perubahan ini dapat dipelajari model pembelajaran mesin, termasuk model berbasis </w:t>
      </w:r>
      <w:r>
        <w:rPr>
          <w:rFonts w:ascii="Times New Roman" w:hAnsi="Times New Roman" w:eastAsia="Times New Roman"/>
          <w:b w:val="0"/>
          <w:i/>
          <w:color w:val="000000"/>
          <w:sz w:val="21"/>
        </w:rPr>
        <w:t>gradient boosting</w:t>
      </w:r>
      <w:r>
        <w:rPr>
          <w:rFonts w:ascii="Times New Roman" w:hAnsi="Times New Roman" w:eastAsia="Times New Roman"/>
          <w:b w:val="0"/>
          <w:i w:val="0"/>
          <w:color w:val="000000"/>
          <w:sz w:val="21"/>
        </w:rPr>
        <w:t xml:space="preserve"> [13]. Pendekatan berbasis fitur dengan model tabular semacam ini lebih tahan terhadap data berlabel terbatas dan ketidakseimbangan kelas ekstrem dibanding </w:t>
      </w:r>
      <w:r>
        <w:rPr>
          <w:rFonts w:ascii="Times New Roman" w:hAnsi="Times New Roman" w:eastAsia="Times New Roman"/>
          <w:b w:val="0"/>
          <w:i/>
          <w:color w:val="000000"/>
          <w:sz w:val="21"/>
        </w:rPr>
        <w:t>deep learning</w:t>
      </w:r>
      <w:r>
        <w:rPr>
          <w:rFonts w:ascii="Times New Roman" w:hAnsi="Times New Roman" w:eastAsia="Times New Roman"/>
          <w:b w:val="0"/>
          <w:i w:val="0"/>
          <w:color w:val="000000"/>
          <w:sz w:val="21"/>
        </w:rPr>
        <w:t xml:space="preserve"> langsung pada citra. Untuk memperkirakan luas tajuk ketika anotasi hanya berupa kotak pembatas tanpa </w:t>
      </w:r>
      <w:r>
        <w:rPr>
          <w:rFonts w:ascii="Times New Roman" w:hAnsi="Times New Roman" w:eastAsia="Times New Roman"/>
          <w:b w:val="0"/>
          <w:i/>
          <w:color w:val="000000"/>
          <w:sz w:val="21"/>
        </w:rPr>
        <w:t>mask</w:t>
      </w:r>
      <w:r>
        <w:rPr>
          <w:rFonts w:ascii="Times New Roman" w:hAnsi="Times New Roman" w:eastAsia="Times New Roman"/>
          <w:b w:val="0"/>
          <w:i w:val="0"/>
          <w:color w:val="000000"/>
          <w:sz w:val="21"/>
        </w:rPr>
        <w:t xml:space="preserve"> kebenaran-dasar, praktik yang lazim adalah memisahkan piksel tanaman dari latar memakai indeks warna. Woebbecke dkk. [14] menunjukkan indeks </w:t>
      </w:r>
      <w:r>
        <w:rPr>
          <w:rFonts w:ascii="Times New Roman" w:hAnsi="Times New Roman" w:eastAsia="Times New Roman"/>
          <w:b w:val="0"/>
          <w:i/>
          <w:color w:val="000000"/>
          <w:sz w:val="21"/>
        </w:rPr>
        <w:t>Excess Green</w:t>
      </w:r>
      <w:r>
        <w:rPr>
          <w:rFonts w:ascii="Times New Roman" w:hAnsi="Times New Roman" w:eastAsia="Times New Roman"/>
          <w:b w:val="0"/>
          <w:i w:val="0"/>
          <w:color w:val="000000"/>
          <w:sz w:val="21"/>
        </w:rPr>
        <w:t xml:space="preserve"> memisahkan vegetasi dari tanah dan residu pada berbagai kondisi pencahayaan, dan pemisahan itu dapat diambangkan otomatis dengan metode Otsu [12] yang memilih ambang langsung dari histogram aras keabuan. Keduanya tidak memerlukan pelatihan, sehingga dapat dipakai ketika data pelatihan segmentasi tidak tersedia.</w:t>
      </w:r>
    </w:p>
    <w:p>
      <w:pPr>
        <w:spacing w:before="0" w:after="100" w:line="240" w:lineRule="auto"/>
        <w:jc w:val="both"/>
      </w:pPr>
      <w:r>
        <w:rPr>
          <w:rFonts w:ascii="Times New Roman" w:hAnsi="Times New Roman" w:eastAsia="Times New Roman"/>
          <w:b w:val="0"/>
          <w:i w:val="0"/>
          <w:color w:val="000000"/>
          <w:sz w:val="21"/>
        </w:rPr>
        <w:t>Satu langkah terakhir menentukan cara seluruh keluaran tahap penginderaan dibaca. Citra UAV lazim dipotong menjadi ubin yang saling bertindih, sehingga satu pohon fisik muncul berkali-kali pada ubin yang berbeda, dan koordinat pusat tajuk hasil deteksi perlu dikembalikan ke kerangka ortomosaik induk lalu digabungkan. Memperlakukan pengamatan berulang atas unit yang sama sebagai replikasi independen adalah pseudo-replikasi, yang menggelembungkan ukuran sampel semu dan membuat selang kepercayaan tampak jauh lebih sempit daripada yang dibenarkan data [18]. Penggabungan deteksi ganda karena itu bukan langkah kosmetik, melainkan syarat agar unit analisisnya adalah pohon dan bukan baris anotasi.</w:t>
      </w:r>
    </w:p>
    <w:p>
      <w:pPr>
        <w:keepNext/>
        <w:spacing w:before="160" w:after="50" w:line="240" w:lineRule="auto"/>
      </w:pPr>
      <w:r>
        <w:rPr>
          <w:rFonts w:ascii="Times New Roman" w:hAnsi="Times New Roman" w:eastAsia="Times New Roman"/>
          <w:b/>
          <w:color w:val="000000"/>
          <w:sz w:val="22"/>
        </w:rPr>
        <w:t>2.3  Pemodelan Spasial-Temporal dan Graph Neural Networks (GNN)</w:t>
      </w:r>
    </w:p>
    <w:p>
      <w:pPr>
        <w:spacing w:before="0" w:after="100" w:line="240" w:lineRule="auto"/>
        <w:jc w:val="both"/>
      </w:pPr>
      <w:r>
        <w:rPr>
          <w:rFonts w:ascii="Times New Roman" w:hAnsi="Times New Roman" w:eastAsia="Times New Roman"/>
          <w:b w:val="0"/>
          <w:i w:val="0"/>
          <w:color w:val="000000"/>
          <w:sz w:val="21"/>
        </w:rPr>
        <w:t xml:space="preserve">Graf kedekatan hanya bermakna bila ambang jaraknya berdasar, dan dasarnya datang dari rancangan tanam. Sawit ditanam mengikuti rancangan segitiga sama sisi, dengan kerapatan optimum 143 sampai 160 pohon per hektare atau setara jarak 8,5 sampai 9 m antar pohon [17]. Pada kisi segitiga berjarak </w:t>
      </w:r>
      <w:r>
        <w:rPr>
          <w:rFonts w:ascii="Times New Roman" w:hAnsi="Times New Roman" w:eastAsia="Times New Roman"/>
          <w:b w:val="0"/>
          <w:i/>
          <w:color w:val="000000"/>
          <w:sz w:val="21"/>
        </w:rPr>
        <w:t>d</w:t>
      </w:r>
      <w:r>
        <w:rPr>
          <w:rFonts w:ascii="Times New Roman" w:hAnsi="Times New Roman" w:eastAsia="Times New Roman"/>
          <w:b w:val="0"/>
          <w:i w:val="0"/>
          <w:color w:val="000000"/>
          <w:sz w:val="21"/>
        </w:rPr>
        <w:t xml:space="preserve">, cangkang tetangga pertama berisi tepat enam pohon pada jarak </w:t>
      </w:r>
      <w:r>
        <w:rPr>
          <w:rFonts w:ascii="Times New Roman" w:hAnsi="Times New Roman" w:eastAsia="Times New Roman"/>
          <w:b w:val="0"/>
          <w:i/>
          <w:color w:val="000000"/>
          <w:sz w:val="21"/>
        </w:rPr>
        <w:t>d</w:t>
      </w:r>
      <w:r>
        <w:rPr>
          <w:rFonts w:ascii="Times New Roman" w:hAnsi="Times New Roman" w:eastAsia="Times New Roman"/>
          <w:b w:val="0"/>
          <w:i w:val="0"/>
          <w:color w:val="000000"/>
          <w:sz w:val="21"/>
        </w:rPr>
        <w:t xml:space="preserve">, sedangkan cangkang kedua baru muncul pada </w:t>
      </w:r>
      <w:r>
        <w:rPr>
          <w:rFonts w:ascii="Times New Roman" w:hAnsi="Times New Roman" w:eastAsia="Times New Roman"/>
          <w:b w:val="0"/>
          <w:i/>
          <w:color w:val="000000"/>
          <w:sz w:val="21"/>
        </w:rPr>
        <w:t>d</w:t>
      </w:r>
      <w:r>
        <w:rPr>
          <w:rFonts w:ascii="Times New Roman" w:hAnsi="Times New Roman" w:eastAsia="Times New Roman"/>
          <w:b w:val="0"/>
          <w:i w:val="0"/>
          <w:color w:val="000000"/>
          <w:sz w:val="21"/>
        </w:rPr>
        <w:t>√3 atau sekitar 1,73</w:t>
      </w:r>
      <w:r>
        <w:rPr>
          <w:rFonts w:ascii="Times New Roman" w:hAnsi="Times New Roman" w:eastAsia="Times New Roman"/>
          <w:b w:val="0"/>
          <w:i/>
          <w:color w:val="000000"/>
          <w:sz w:val="21"/>
        </w:rPr>
        <w:t>d</w:t>
      </w:r>
      <w:r>
        <w:rPr>
          <w:rFonts w:ascii="Times New Roman" w:hAnsi="Times New Roman" w:eastAsia="Times New Roman"/>
          <w:b w:val="0"/>
          <w:i w:val="0"/>
          <w:color w:val="000000"/>
          <w:sz w:val="21"/>
        </w:rPr>
        <w:t xml:space="preserve">. Ambang </w:t>
      </w:r>
      <w:r>
        <w:rPr>
          <w:rFonts w:ascii="Times New Roman" w:hAnsi="Times New Roman" w:eastAsia="Times New Roman"/>
          <w:b w:val="0"/>
          <w:i/>
          <w:color w:val="000000"/>
          <w:sz w:val="21"/>
        </w:rPr>
        <w:t>r</w:t>
      </w:r>
      <w:r>
        <w:rPr>
          <w:rFonts w:ascii="Times New Roman" w:hAnsi="Times New Roman" w:eastAsia="Times New Roman"/>
          <w:b w:val="0"/>
          <w:i w:val="0"/>
          <w:color w:val="000000"/>
          <w:sz w:val="21"/>
        </w:rPr>
        <w:t xml:space="preserve"> = 1,5</w:t>
      </w:r>
      <w:r>
        <w:rPr>
          <w:rFonts w:ascii="Times New Roman" w:hAnsi="Times New Roman" w:eastAsia="Times New Roman"/>
          <w:b w:val="0"/>
          <w:i/>
          <w:color w:val="000000"/>
          <w:sz w:val="21"/>
        </w:rPr>
        <w:t>d</w:t>
      </w:r>
      <w:r>
        <w:rPr>
          <w:rFonts w:ascii="Times New Roman" w:hAnsi="Times New Roman" w:eastAsia="Times New Roman"/>
          <w:b w:val="0"/>
          <w:i w:val="0"/>
          <w:color w:val="000000"/>
          <w:sz w:val="21"/>
        </w:rPr>
        <w:t xml:space="preserve"> karena itu menangkap cangkang pertama secara utuh tanpa menyentuh cangkang kedua, dan derajat rata-rata sekitar enam merupakan konsekuensi rancangan tanam, bukan parameter yang disetel. Sifat yang sama pula yang membuat derajat graf keluaran tahap penginderaan dapat dibandingkan dengan derajat graf masukan tahap peramalan meskipun kedua sumber data tidak digabungkan. Kesamaan derajat merupakan syarat perlu bagi kesebangunan antarmuka, bukan syarat cukup bagi keteralihan model.</w:t>
      </w:r>
    </w:p>
    <w:p>
      <w:pPr>
        <w:spacing w:before="0" w:after="100" w:line="240" w:lineRule="auto"/>
        <w:jc w:val="both"/>
      </w:pPr>
      <w:r>
        <w:rPr>
          <w:rFonts w:ascii="Times New Roman" w:hAnsi="Times New Roman" w:eastAsia="Times New Roman"/>
          <w:b w:val="0"/>
          <w:i/>
          <w:color w:val="000000"/>
          <w:sz w:val="21"/>
        </w:rPr>
        <w:t>Spatio-temporal Graph Neural Network</w:t>
      </w:r>
      <w:r>
        <w:rPr>
          <w:rFonts w:ascii="Times New Roman" w:hAnsi="Times New Roman" w:eastAsia="Times New Roman"/>
          <w:b w:val="0"/>
          <w:i w:val="0"/>
          <w:color w:val="000000"/>
          <w:sz w:val="21"/>
        </w:rPr>
        <w:t xml:space="preserve"> (STGNN) dirancang menangkap pola temporal dan spasial sekaligus, dengan lapisan konvolusi graf yang mengagregasi informasi antar simpul bertetangga digabung lapisan pemrosesan urutan waktu seperti </w:t>
      </w:r>
      <w:r>
        <w:rPr>
          <w:rFonts w:ascii="Times New Roman" w:hAnsi="Times New Roman" w:eastAsia="Times New Roman"/>
          <w:b w:val="0"/>
          <w:i/>
          <w:color w:val="000000"/>
          <w:sz w:val="21"/>
        </w:rPr>
        <w:t>gated recurrent unit</w:t>
      </w:r>
      <w:r>
        <w:rPr>
          <w:rFonts w:ascii="Times New Roman" w:hAnsi="Times New Roman" w:eastAsia="Times New Roman"/>
          <w:b w:val="0"/>
          <w:i w:val="0"/>
          <w:color w:val="000000"/>
          <w:sz w:val="21"/>
        </w:rPr>
        <w:t xml:space="preserve"> [20], secara konseptual mengungguli model tabular sederhana seperti MLP yang memandang tiap pohon terisolasi. Namun keunggulan ini tidak otomatis. Fujita dan Akutsu [9] menunjukkan bahwa pada peramalan epidemi antar-wilayah, penambahan struktur graf sering meningkatkan kompleksitas tanpa manfaat performa sepadan, bahkan mendorong </w:t>
      </w:r>
      <w:r>
        <w:rPr>
          <w:rFonts w:ascii="Times New Roman" w:hAnsi="Times New Roman" w:eastAsia="Times New Roman"/>
          <w:b w:val="0"/>
          <w:i/>
          <w:color w:val="000000"/>
          <w:sz w:val="21"/>
        </w:rPr>
        <w:t>overfitting</w:t>
      </w:r>
      <w:r>
        <w:rPr>
          <w:rFonts w:ascii="Times New Roman" w:hAnsi="Times New Roman" w:eastAsia="Times New Roman"/>
          <w:b w:val="0"/>
          <w:i w:val="0"/>
          <w:color w:val="000000"/>
          <w:sz w:val="21"/>
        </w:rPr>
        <w:t>. Klaim bahwa model graf lebih unggul perlu dipisahkan dari klaim bahwa peta kedekatan itu sendiri membawa informasi tambahan.</w:t>
      </w:r>
    </w:p>
    <w:p>
      <w:pPr>
        <w:spacing w:before="0" w:after="100" w:line="240" w:lineRule="auto"/>
        <w:jc w:val="both"/>
      </w:pPr>
      <w:r>
        <w:rPr>
          <w:rFonts w:ascii="Times New Roman" w:hAnsi="Times New Roman" w:eastAsia="Times New Roman"/>
          <w:b w:val="0"/>
          <w:i w:val="0"/>
          <w:color w:val="000000"/>
          <w:sz w:val="21"/>
        </w:rPr>
        <w:t>Untuk memisahkan kedua klaim ini diperlukan kerangka pembanding yang menjaga agar selisih performa berasal dari kebenaran struktur, bukan sekadar akses ke suatu graf. Kerangka standar dalam ilmu jaringan adalah model konfigurasi dengan pengacakan berderajat-sama, dipopulerkan Maslov dan Sneppen [10]: graf diacak ulang sehingga jumlah tetangga tiap simpul tetap sama, tetapi identitas tetangganya ditukar acak. Selisih performa antara graf asli dan graf hasil pengacakan ini menjadi dasar prosedur dekomposisi, memecah keunggulan model graf menjadi komponen nilai memodelkan waktu, nilai prevalensi tetangga sakit, dan nilai struktur kedekatan yang benar dibanding acak. Satu kehati-hatian menyertainya. Pada kisi segitiga seluruh sisi asli berpanjang sama, sehingga pengacakan berderajat-sama yang dilakukan secara global akan menyambungkan pohon yang berjauhan, dan selisih asli dikurangi acak berpotensi mengukur lokalitas alih-alih ketepatan peta. Kontrolnya karena itu perlu dinaikkan bertingkat, yaitu dengan membatasi panjang sisi hasil pengacakan agar graf pembanding tetap berada di sekitar pohon aslinya.</w:t>
      </w:r>
    </w:p>
    <w:p>
      <w:pPr>
        <w:keepNext/>
        <w:spacing w:before="160" w:after="50" w:line="240" w:lineRule="auto"/>
      </w:pPr>
      <w:r>
        <w:rPr>
          <w:rFonts w:ascii="Times New Roman" w:hAnsi="Times New Roman" w:eastAsia="Times New Roman"/>
          <w:b/>
          <w:color w:val="000000"/>
          <w:sz w:val="22"/>
        </w:rPr>
        <w:t>2.4  Tantangan Validasi pada Data Geospasial</w:t>
      </w:r>
    </w:p>
    <w:p>
      <w:pPr>
        <w:spacing w:before="0" w:after="100" w:line="240" w:lineRule="auto"/>
        <w:jc w:val="both"/>
      </w:pPr>
      <w:r>
        <w:rPr>
          <w:rFonts w:ascii="Times New Roman" w:hAnsi="Times New Roman" w:eastAsia="Times New Roman"/>
          <w:b w:val="0"/>
          <w:i w:val="0"/>
          <w:color w:val="000000"/>
          <w:sz w:val="21"/>
        </w:rPr>
        <w:t>Data berkomponen ruang memiliki sifat autokorelasi spasial: sesuatu yang berdekatan cenderung lebih mirip dibanding yang berjauhan, dirumuskan Tobler [6] sebagai Hukum Pertama Geografi. Prinsip ini berlaku pada kondisi kesehatan tanaman antar pohon bertetangga.</w:t>
      </w:r>
    </w:p>
    <w:p>
      <w:pPr>
        <w:spacing w:before="0" w:after="100" w:line="240" w:lineRule="auto"/>
        <w:jc w:val="both"/>
      </w:pPr>
      <w:r>
        <w:rPr>
          <w:rFonts w:ascii="Times New Roman" w:hAnsi="Times New Roman" w:eastAsia="Times New Roman"/>
          <w:b w:val="0"/>
          <w:i w:val="0"/>
          <w:color w:val="000000"/>
          <w:sz w:val="21"/>
        </w:rPr>
        <w:t>Konsekuensinya, validasi silang acak melanggar asumsi independensi. Ketika data dari lokasi berdekatan tersebar ke himpunan latih dan uji lewat pembagian acak, performa terukur menjadi bias optimistis. Kattenborn dkk. [7] mendemonstrasikan hal ini langsung pada segmentasi spesies pohon dari citra UAV menggunakan CNN, menunjukkan validasi silang acak dapat menggelembungkan performa hingga puluhan persen dibanding validasi silang berbasis blok spasial. Temuan ini menjustifikasi penolakan pembagian data acak dan penggantiannya dengan skema yang menahan satu blok spasial, yaitu satu ortomosaik atau satu petak, utuh pada satu sisi pembagian saja.</w:t>
      </w:r>
    </w:p>
    <w:p>
      <w:pPr>
        <w:spacing w:before="0" w:after="100" w:line="240" w:lineRule="auto"/>
        <w:jc w:val="both"/>
      </w:pPr>
      <w:r>
        <w:rPr>
          <w:rFonts w:ascii="Times New Roman" w:hAnsi="Times New Roman" w:eastAsia="Times New Roman"/>
          <w:b w:val="0"/>
          <w:i w:val="0"/>
          <w:color w:val="000000"/>
          <w:sz w:val="21"/>
        </w:rPr>
        <w:t xml:space="preserve">Tantangan kedua muncul dari ketidakseimbangan kelas ekstrem, lazim pada deteksi penyakit tanaman karena jumlah pohon sehat jauh melebihi jumlah bergejala. Pada kondisi ini akurasi menyesatkan, karena model yang selalu memprediksi sehat tetap memperoleh skor tinggi tanpa mengidentifikasi satu pun kasus positif. Saito dan Rehmsmeier [8] menunjukkan kurva </w:t>
      </w:r>
      <w:r>
        <w:rPr>
          <w:rFonts w:ascii="Times New Roman" w:hAnsi="Times New Roman" w:eastAsia="Times New Roman"/>
          <w:b w:val="0"/>
          <w:i/>
          <w:color w:val="000000"/>
          <w:sz w:val="21"/>
        </w:rPr>
        <w:t>Precision-Recall</w:t>
      </w:r>
      <w:r>
        <w:rPr>
          <w:rFonts w:ascii="Times New Roman" w:hAnsi="Times New Roman" w:eastAsia="Times New Roman"/>
          <w:b w:val="0"/>
          <w:i w:val="0"/>
          <w:color w:val="000000"/>
          <w:sz w:val="21"/>
        </w:rPr>
        <w:t xml:space="preserve"> dan luas areanya (PR-AUC) lebih informatif dibanding ROC pada dataset timpang, karena berfokus pada seberapa baik model mengidentifikasi kelas positif yang langka. PR-AUC, dibandingkan terhadap garis dasar setara prevalensi kelas positif, karena itu menjadi metrik pelaporan utama dalam penelitian ini, bukan akurasi.</w:t>
      </w:r>
    </w:p>
    <w:p>
      <w:pPr>
        <w:spacing w:before="0" w:after="100" w:line="240" w:lineRule="auto"/>
        <w:jc w:val="both"/>
      </w:pPr>
      <w:r>
        <w:rPr>
          <w:rFonts w:ascii="Times New Roman" w:hAnsi="Times New Roman" w:eastAsia="Times New Roman"/>
          <w:b w:val="0"/>
          <w:i w:val="0"/>
          <w:color w:val="000000"/>
          <w:sz w:val="21"/>
        </w:rPr>
        <w:t xml:space="preserve">Dua alat pelaporan melengkapinya. Karena tiap konfigurasi dijalankan pada banyak </w:t>
      </w:r>
      <w:r>
        <w:rPr>
          <w:rFonts w:ascii="Times New Roman" w:hAnsi="Times New Roman" w:eastAsia="Times New Roman"/>
          <w:b w:val="0"/>
          <w:i/>
          <w:color w:val="000000"/>
          <w:sz w:val="21"/>
        </w:rPr>
        <w:t>seed</w:t>
      </w:r>
      <w:r>
        <w:rPr>
          <w:rFonts w:ascii="Times New Roman" w:hAnsi="Times New Roman" w:eastAsia="Times New Roman"/>
          <w:b w:val="0"/>
          <w:i w:val="0"/>
          <w:color w:val="000000"/>
          <w:sz w:val="21"/>
        </w:rPr>
        <w:t>, perbandingan antarmodel dilakukan berpasangan per-</w:t>
      </w:r>
      <w:r>
        <w:rPr>
          <w:rFonts w:ascii="Times New Roman" w:hAnsi="Times New Roman" w:eastAsia="Times New Roman"/>
          <w:b w:val="0"/>
          <w:i/>
          <w:color w:val="000000"/>
          <w:sz w:val="21"/>
        </w:rPr>
        <w:t>seed</w:t>
      </w:r>
      <w:r>
        <w:rPr>
          <w:rFonts w:ascii="Times New Roman" w:hAnsi="Times New Roman" w:eastAsia="Times New Roman"/>
          <w:b w:val="0"/>
          <w:i w:val="0"/>
          <w:color w:val="000000"/>
          <w:sz w:val="21"/>
        </w:rPr>
        <w:t xml:space="preserve"> dan dilaporkan bersama hitungan tanda, sebab menang tipis pada hampir seluruh </w:t>
      </w:r>
      <w:r>
        <w:rPr>
          <w:rFonts w:ascii="Times New Roman" w:hAnsi="Times New Roman" w:eastAsia="Times New Roman"/>
          <w:b w:val="0"/>
          <w:i/>
          <w:color w:val="000000"/>
          <w:sz w:val="21"/>
        </w:rPr>
        <w:t>seed</w:t>
      </w:r>
      <w:r>
        <w:rPr>
          <w:rFonts w:ascii="Times New Roman" w:hAnsi="Times New Roman" w:eastAsia="Times New Roman"/>
          <w:b w:val="0"/>
          <w:i w:val="0"/>
          <w:color w:val="000000"/>
          <w:sz w:val="21"/>
        </w:rPr>
        <w:t xml:space="preserve"> dan menang besar pada separuh </w:t>
      </w:r>
      <w:r>
        <w:rPr>
          <w:rFonts w:ascii="Times New Roman" w:hAnsi="Times New Roman" w:eastAsia="Times New Roman"/>
          <w:b w:val="0"/>
          <w:i/>
          <w:color w:val="000000"/>
          <w:sz w:val="21"/>
        </w:rPr>
        <w:t>seed</w:t>
      </w:r>
      <w:r>
        <w:rPr>
          <w:rFonts w:ascii="Times New Roman" w:hAnsi="Times New Roman" w:eastAsia="Times New Roman"/>
          <w:b w:val="0"/>
          <w:i w:val="0"/>
          <w:color w:val="000000"/>
          <w:sz w:val="21"/>
        </w:rPr>
        <w:t xml:space="preserve"> adalah dua pernyataan yang berbeda; selisih yang berada di dalam satu simpangan baku dinyatakan tidak konklusif menurut aturan yang ditetapkan sebelum hasil dilihat. Selain itu, efek tetangga pada data longitudinal dapat tercemar waktu kalender, karena pohon yang diamati pada sensus yang sama sama-sama menghadapi tekanan wabah yang sama. Mantel dan Haenszel [19] merumuskan estimator risiko relatif terstratifikasi yang menggabungkan bukti antar strata sambil menahan pengaruh strata itu sendiri, dan stratifikasi per sensus dipakai di sini untuk memisahkan efek tetangga dari efek waktu. Prinsip yang sama berlaku pada uji permutasi, yaitu pengacakan dilakukan di dalam famili agar kekerabatan yang ditanam berdekatan tidak terhitung sebagai penularan.</w:t>
      </w:r>
    </w:p>
    <w:p>
      <w:pPr>
        <w:keepNext/>
        <w:spacing w:before="160" w:after="50" w:line="240" w:lineRule="auto"/>
      </w:pPr>
      <w:r>
        <w:rPr>
          <w:rFonts w:ascii="Times New Roman" w:hAnsi="Times New Roman" w:eastAsia="Times New Roman"/>
          <w:b/>
          <w:color w:val="000000"/>
          <w:sz w:val="26"/>
        </w:rPr>
        <w:t>Tambalan untuk Bab 3</w:t>
      </w:r>
    </w:p>
    <w:p>
      <w:pPr>
        <w:spacing w:before="0" w:after="100" w:line="240" w:lineRule="auto"/>
        <w:jc w:val="both"/>
      </w:pPr>
      <w:r>
        <w:rPr>
          <w:rFonts w:ascii="Times New Roman" w:hAnsi="Times New Roman" w:eastAsia="Times New Roman"/>
          <w:b w:val="0"/>
          <w:i w:val="0"/>
          <w:color w:val="404040"/>
          <w:sz w:val="17"/>
        </w:rPr>
        <w:t>Naskah Bab 3 versi sekarang menjanjikan enam tahap pada paragraf pembuka, tetapi hanya lima yang diuraikan. Tahap 4 tidak ada, padahal 3.1 menutup dengan merujuknya dan 3.3 menyebut kisi tanam hasil Tahap 4. Uji antarmuka juga disebut pada Batasan 1.3 tetapi angkanya tidak pernah muncul. Dua paragraf berikut menutup kedua lubang itu.</w:t>
      </w:r>
    </w:p>
    <w:p>
      <w:pPr>
        <w:keepNext/>
        <w:spacing w:before="120" w:after="50" w:line="240" w:lineRule="auto"/>
      </w:pPr>
      <w:r>
        <w:rPr>
          <w:rFonts w:ascii="Times New Roman" w:hAnsi="Times New Roman" w:eastAsia="Times New Roman"/>
          <w:b/>
          <w:color w:val="000000"/>
          <w:sz w:val="20"/>
        </w:rPr>
        <w:t>Tambalan 1. Sisipkan sebagai paragraf PERTAMA Subbab 3.2, sebelum paragraf Eg9PP.</w:t>
      </w:r>
    </w:p>
    <w:p>
      <w:pPr>
        <w:spacing w:before="0" w:after="100" w:line="240" w:lineRule="auto"/>
        <w:jc w:val="both"/>
      </w:pPr>
      <w:r>
        <w:rPr>
          <w:rFonts w:ascii="Times New Roman" w:hAnsi="Times New Roman" w:eastAsia="Times New Roman"/>
          <w:b w:val="0"/>
          <w:i w:val="0"/>
          <w:color w:val="000000"/>
          <w:sz w:val="21"/>
        </w:rPr>
        <w:t>Rekonstruksi geometri kebun adalah tahap yang menjembatani kedua layer. Nama berkas setiap ubin menyimpan offset piksel absolutnya di dalam ortomosaik induk, sehingga menjumlahkan offset tersebut dengan pusat kotak pembatas memberi koordinat global bagi tiap tajuk, dan seluruh ubin dapat dijahit kembali menjadi satu awan titik yang merepresentasikan tata letak kebun. Deteksi ganda antar-ubin digabungkan memakai aturan jarak, dan hasilnya menentukan cara seluruh keluaran Layer 1 dibaca, yaitu 151.060 kotak anotasi ternyata hanya mewakili 5.077 pohon unik karena satu pohon muncul pada median 32 ubin. Skala metriknya diperoleh dengan memadankan jarak tetangga terdekat sebesar 101 sampai 106 piksel terhadap jarak tanam sawit yang lazim, yaitu 9 m.</w:t>
      </w:r>
    </w:p>
    <w:p>
      <w:pPr>
        <w:keepNext/>
        <w:spacing w:before="120" w:after="50" w:line="240" w:lineRule="auto"/>
      </w:pPr>
      <w:r>
        <w:rPr>
          <w:rFonts w:ascii="Times New Roman" w:hAnsi="Times New Roman" w:eastAsia="Times New Roman"/>
          <w:b/>
          <w:color w:val="000000"/>
          <w:sz w:val="20"/>
        </w:rPr>
        <w:t>Tambalan 2. Sisipkan setelah kalimat pembangunan graf pada paragraf Eg9PP di Subbab 3.2. Ganti pula frasa "graf kontak akar" menjadi "graf kedekatan".</w:t>
      </w:r>
    </w:p>
    <w:p>
      <w:pPr>
        <w:spacing w:before="0" w:after="100" w:line="240" w:lineRule="auto"/>
        <w:jc w:val="both"/>
      </w:pPr>
      <w:r>
        <w:rPr>
          <w:rFonts w:ascii="Times New Roman" w:hAnsi="Times New Roman" w:eastAsia="Times New Roman"/>
          <w:b w:val="0"/>
          <w:i w:val="0"/>
          <w:color w:val="000000"/>
          <w:sz w:val="21"/>
        </w:rPr>
        <w:t>Kedua sumber data tidak digabungkan, dan yang diukur hanyalah kesebangunan antarmukanya. Derajat rata-rata graf pada radius 1,5 kali jarak tanam bernilai 5,62 pada geometri hasil Layer 1 dan 5,74 pada Eg9PP, atau berselisih 2%. Sesuai Subbab 2.3, kesepakatan sebesar itu memang diharapkan pada dua kebun yang sama-sama ditanam segitiga, sehingga ia berlaku sebagai pemeriksaan kewarasan bahwa rekonstruksi dan deduplikasi tidak merusak kerapatan lokal, bukan sebagai bukti keteralihan model. Angkanya dihitung dari kotak kebenaran-dasar dan bukan prediksi detektor, sehingga merupakan batas atas.</w:t>
      </w:r>
    </w:p>
    <w:p>
      <w:pPr>
        <w:keepNext/>
        <w:spacing w:before="160" w:after="50" w:line="240" w:lineRule="auto"/>
      </w:pPr>
      <w:r>
        <w:rPr>
          <w:rFonts w:ascii="Times New Roman" w:hAnsi="Times New Roman" w:eastAsia="Times New Roman"/>
          <w:b/>
          <w:color w:val="000000"/>
          <w:sz w:val="26"/>
        </w:rPr>
        <w:t>Tambahan Daftar Pustaka</w:t>
      </w:r>
    </w:p>
    <w:p>
      <w:pPr>
        <w:spacing w:before="0" w:after="100" w:line="240" w:lineRule="auto"/>
        <w:jc w:val="both"/>
      </w:pPr>
      <w:r>
        <w:rPr>
          <w:rFonts w:ascii="Times New Roman" w:hAnsi="Times New Roman" w:eastAsia="Times New Roman"/>
          <w:b w:val="0"/>
          <w:i w:val="0"/>
          <w:color w:val="404040"/>
          <w:sz w:val="17"/>
        </w:rPr>
        <w:t>Tambahan Daftar Pustaka. Dinomori [15] sampai [20] agar penomoran [1] sampai [14] yang sudah ada tidak perlu digeser.</w:t>
      </w:r>
    </w:p>
    <w:p>
      <w:pPr>
        <w:spacing w:before="0" w:after="60" w:line="240" w:lineRule="auto"/>
        <w:ind w:left="510" w:hanging="510"/>
        <w:jc w:val="left"/>
      </w:pPr>
      <w:r>
        <w:rPr>
          <w:rFonts w:ascii="Times New Roman" w:hAnsi="Times New Roman" w:eastAsia="Times New Roman"/>
          <w:b w:val="0"/>
          <w:i w:val="0"/>
          <w:color w:val="000000"/>
          <w:sz w:val="21"/>
        </w:rPr>
        <w:t>[15] Rees, R.W., Flood, J., Hasan, Y., Potter, U., &amp; Cooper, R.M. (2009). Basal stem rot of oil palm (Elaeis guineensis); mode of root infection and lower stem invasion by Ganoderma boninense. Plant Pathology, 58(5), 982-989.</w:t>
      </w:r>
    </w:p>
    <w:p>
      <w:pPr>
        <w:spacing w:before="0" w:after="60" w:line="240" w:lineRule="auto"/>
        <w:ind w:left="510" w:hanging="510"/>
        <w:jc w:val="left"/>
      </w:pPr>
      <w:r>
        <w:rPr>
          <w:rFonts w:ascii="Times New Roman" w:hAnsi="Times New Roman" w:eastAsia="Times New Roman"/>
          <w:b w:val="0"/>
          <w:i w:val="0"/>
          <w:color w:val="000000"/>
          <w:sz w:val="21"/>
        </w:rPr>
        <w:t>[16] Pilotti, C.A., Gorea, E.A., &amp; Bonneau, L. (2018). Basidiospores as sources of inoculum in the spread of Ganoderma boninense in oil palm plantations in Papua New Guinea. Plant Pathology, 67(9), 1841-1849.</w:t>
      </w:r>
    </w:p>
    <w:p>
      <w:pPr>
        <w:spacing w:before="0" w:after="60" w:line="240" w:lineRule="auto"/>
        <w:ind w:left="510" w:hanging="510"/>
        <w:jc w:val="left"/>
      </w:pPr>
      <w:r>
        <w:rPr>
          <w:rFonts w:ascii="Times New Roman" w:hAnsi="Times New Roman" w:eastAsia="Times New Roman"/>
          <w:b w:val="0"/>
          <w:i w:val="0"/>
          <w:color w:val="000000"/>
          <w:sz w:val="21"/>
        </w:rPr>
        <w:t>[17] Bonneau, X., Impens, R., &amp; Buabeng, M. (2018). Optimum oil palm planting density in West Africa. OCL, 25(2), A201.</w:t>
      </w:r>
    </w:p>
    <w:p>
      <w:pPr>
        <w:spacing w:before="0" w:after="60" w:line="240" w:lineRule="auto"/>
        <w:ind w:left="510" w:hanging="510"/>
        <w:jc w:val="left"/>
      </w:pPr>
      <w:r>
        <w:rPr>
          <w:rFonts w:ascii="Times New Roman" w:hAnsi="Times New Roman" w:eastAsia="Times New Roman"/>
          <w:b w:val="0"/>
          <w:i w:val="0"/>
          <w:color w:val="000000"/>
          <w:sz w:val="21"/>
        </w:rPr>
        <w:t>[18] Hurlbert, S.H. (1984). Pseudoreplication and the Design of Ecological Field Experiments. Ecological Monographs, 54(2), 187-211.</w:t>
      </w:r>
    </w:p>
    <w:p>
      <w:pPr>
        <w:spacing w:before="0" w:after="60" w:line="240" w:lineRule="auto"/>
        <w:ind w:left="510" w:hanging="510"/>
        <w:jc w:val="left"/>
      </w:pPr>
      <w:r>
        <w:rPr>
          <w:rFonts w:ascii="Times New Roman" w:hAnsi="Times New Roman" w:eastAsia="Times New Roman"/>
          <w:b w:val="0"/>
          <w:i w:val="0"/>
          <w:color w:val="000000"/>
          <w:sz w:val="21"/>
        </w:rPr>
        <w:t>[19] Mantel, N., &amp; Haenszel, W. (1959). Statistical Aspects of the Analysis of Data From Retrospective Studies of Disease. Journal of the National Cancer Institute, 22(4), 719-748.</w:t>
      </w:r>
    </w:p>
    <w:p>
      <w:pPr>
        <w:spacing w:before="0" w:after="60" w:line="240" w:lineRule="auto"/>
        <w:ind w:left="510" w:hanging="510"/>
        <w:jc w:val="left"/>
      </w:pPr>
      <w:r>
        <w:rPr>
          <w:rFonts w:ascii="Times New Roman" w:hAnsi="Times New Roman" w:eastAsia="Times New Roman"/>
          <w:b w:val="0"/>
          <w:i w:val="0"/>
          <w:color w:val="000000"/>
          <w:sz w:val="21"/>
        </w:rPr>
        <w:t>[20] Cho, K., van Merrienboer, B., Gulcehre, C., Bahdanau, D., Bougares, F., Schwenk, H., &amp; Bengio, Y. (2014). Learning Phrase Representations using RNN Encoder-Decoder for Statistical Machine Translation. arXiv:1406.1078.</w:t>
      </w:r>
    </w:p>
    <w:sectPr w:rsidR="00FC693F" w:rsidRPr="0006063C" w:rsidSect="00034616">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