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50" w:line="240" w:lineRule="auto"/>
      </w:pPr>
      <w:r>
        <w:rPr>
          <w:rFonts w:ascii="Times New Roman" w:hAnsi="Times New Roman" w:eastAsia="Times New Roman"/>
          <w:b/>
          <w:color w:val="000000"/>
          <w:sz w:val="26"/>
        </w:rPr>
        <w:t>3. Solusi Usulan</w:t>
      </w:r>
    </w:p>
    <w:p>
      <w:pPr>
        <w:spacing w:before="0" w:after="100" w:line="240" w:lineRule="auto"/>
        <w:jc w:val="both"/>
      </w:pPr>
      <w:r>
        <w:rPr>
          <w:rFonts w:ascii="Times New Roman" w:hAnsi="Times New Roman" w:eastAsia="Times New Roman"/>
          <w:b w:val="0"/>
          <w:i w:val="0"/>
          <w:color w:val="000000"/>
          <w:sz w:val="21"/>
        </w:rPr>
        <w:t>Pipeline disusun sebagai enam tahap berurutan, dari piksel sampai peluang, dan dirangkum pada Gambar 1. Lapisan pertama bekerja pada citra UAV dan menghasilkan inventaris tajuk. Lapisan kedua merekonstruksi tata letak kebun yang sebenarnya dari inventaris tersebut. Dua tahap terakhir menjalankan dinamika penularan di atas tata letak nyata itu dan menerjemahkan keluaran model menjadi persentase risiko yang terkalibrasi.</w:t>
      </w:r>
    </w:p>
    <w:p>
      <w:pPr>
        <w:spacing w:before="20" w:after="80" w:line="240" w:lineRule="auto"/>
        <w:jc w:val="center"/>
      </w:pPr>
      <w:r>
        <w:rPr>
          <w:rFonts w:ascii="Times New Roman" w:hAnsi="Times New Roman" w:eastAsia="Times New Roman"/>
          <w:b w:val="0"/>
          <w:i/>
          <w:color w:val="404040"/>
          <w:sz w:val="17"/>
        </w:rPr>
        <w:t>Gambar 1: Arsitektur pipeline. [sisipkan gambar di sini]</w:t>
      </w:r>
    </w:p>
    <w:p>
      <w:pPr>
        <w:keepNext/>
        <w:spacing w:before="120" w:after="50" w:line="240" w:lineRule="auto"/>
      </w:pPr>
      <w:r>
        <w:rPr>
          <w:rFonts w:ascii="Times New Roman" w:hAnsi="Times New Roman" w:eastAsia="Times New Roman"/>
          <w:b/>
          <w:color w:val="000000"/>
          <w:sz w:val="22"/>
        </w:rPr>
        <w:t>3.1  Layer 1: Persepsi dari Citra UAV</w:t>
      </w:r>
    </w:p>
    <w:p>
      <w:pPr>
        <w:spacing w:before="0" w:after="100" w:line="240" w:lineRule="auto"/>
        <w:jc w:val="both"/>
      </w:pPr>
      <w:r>
        <w:rPr>
          <w:rFonts w:ascii="Times New Roman" w:hAnsi="Times New Roman" w:eastAsia="Times New Roman"/>
          <w:b w:val="0"/>
          <w:i w:val="0"/>
          <w:color w:val="000000"/>
          <w:sz w:val="21"/>
        </w:rPr>
        <w:t xml:space="preserve">Layer 1 memakai dataset </w:t>
      </w:r>
      <w:r>
        <w:rPr>
          <w:rFonts w:ascii="Times New Roman" w:hAnsi="Times New Roman" w:eastAsia="Times New Roman"/>
          <w:b w:val="0"/>
          <w:i/>
          <w:color w:val="000000"/>
          <w:sz w:val="21"/>
        </w:rPr>
        <w:t>Oil Palm Health Detection</w:t>
      </w:r>
      <w:r>
        <w:rPr>
          <w:rFonts w:ascii="Times New Roman" w:hAnsi="Times New Roman" w:eastAsia="Times New Roman"/>
          <w:b w:val="0"/>
          <w:i w:val="0"/>
          <w:color w:val="000000"/>
          <w:sz w:val="21"/>
        </w:rPr>
        <w:t xml:space="preserve"> yang terdiri atas tiga ortomosaik UAV RGB bersudut nadir, 2.303 ubin berukuran 1.024 piksel, dengan GSD sekitar 8,7 cm/px. Label yang tersedia berupa dua kelas, yaitu </w:t>
      </w:r>
      <w:r>
        <w:rPr>
          <w:rFonts w:ascii="Times New Roman" w:hAnsi="Times New Roman" w:eastAsia="Times New Roman"/>
          <w:b w:val="0"/>
          <w:i/>
          <w:color w:val="000000"/>
          <w:sz w:val="21"/>
        </w:rPr>
        <w:t>Healthy</w:t>
      </w:r>
      <w:r>
        <w:rPr>
          <w:rFonts w:ascii="Times New Roman" w:hAnsi="Times New Roman" w:eastAsia="Times New Roman"/>
          <w:b w:val="0"/>
          <w:i w:val="0"/>
          <w:color w:val="000000"/>
          <w:sz w:val="21"/>
        </w:rPr>
        <w:t xml:space="preserve"> dan </w:t>
      </w:r>
      <w:r>
        <w:rPr>
          <w:rFonts w:ascii="Times New Roman" w:hAnsi="Times New Roman" w:eastAsia="Times New Roman"/>
          <w:b w:val="0"/>
          <w:i/>
          <w:color w:val="000000"/>
          <w:sz w:val="21"/>
        </w:rPr>
        <w:t>Unhealthy</w:t>
      </w:r>
      <w:r>
        <w:rPr>
          <w:rFonts w:ascii="Times New Roman" w:hAnsi="Times New Roman" w:eastAsia="Times New Roman"/>
          <w:b w:val="0"/>
          <w:i w:val="0"/>
          <w:color w:val="000000"/>
          <w:sz w:val="21"/>
        </w:rPr>
        <w:t>, yang merepresentasikan kesehatan tajuk.</w:t>
      </w:r>
    </w:p>
    <w:p>
      <w:pPr>
        <w:spacing w:before="0" w:after="100" w:line="240" w:lineRule="auto"/>
        <w:jc w:val="both"/>
      </w:pPr>
      <w:r>
        <w:rPr>
          <w:rFonts w:ascii="Times New Roman" w:hAnsi="Times New Roman" w:eastAsia="Times New Roman"/>
          <w:b w:val="0"/>
          <w:i w:val="0"/>
          <w:color w:val="000000"/>
          <w:sz w:val="21"/>
        </w:rPr>
        <w:t xml:space="preserve">Tiga tahap berjalan berurutan di atas ubin citra tersebut. Deteksi tajuk memakai YOLO11 [11] dan menghasilkan kotak pembatas beserta koordinat piksel pusat tajuk; koordinat inilah, bukan sekadar hitungan jumlah pohon, yang menjadi tulang punggung rekonstruksi geometri kebun pada Subbab 3.2. Estimasi luas tajuk memisahkan piksel tajuk dari piksel tanah memakai indeks </w:t>
      </w:r>
      <w:r>
        <w:rPr>
          <w:rFonts w:ascii="Times New Roman" w:hAnsi="Times New Roman" w:eastAsia="Times New Roman"/>
          <w:b w:val="0"/>
          <w:i/>
          <w:color w:val="000000"/>
          <w:sz w:val="21"/>
        </w:rPr>
        <w:t>Excess Green</w:t>
      </w:r>
      <w:r>
        <w:rPr>
          <w:rFonts w:ascii="Times New Roman" w:hAnsi="Times New Roman" w:eastAsia="Times New Roman"/>
          <w:b w:val="0"/>
          <w:i w:val="0"/>
          <w:color w:val="000000"/>
          <w:sz w:val="21"/>
        </w:rPr>
        <w:t xml:space="preserve"> [14] yang diambangkan dengan metode Otsu [12]; karena data hanya menyediakan kotak pembatas tanpa </w:t>
      </w:r>
      <w:r>
        <w:rPr>
          <w:rFonts w:ascii="Times New Roman" w:hAnsi="Times New Roman" w:eastAsia="Times New Roman"/>
          <w:b w:val="0"/>
          <w:i/>
          <w:color w:val="000000"/>
          <w:sz w:val="21"/>
        </w:rPr>
        <w:t>mask</w:t>
      </w:r>
      <w:r>
        <w:rPr>
          <w:rFonts w:ascii="Times New Roman" w:hAnsi="Times New Roman" w:eastAsia="Times New Roman"/>
          <w:b w:val="0"/>
          <w:i w:val="0"/>
          <w:color w:val="000000"/>
          <w:sz w:val="21"/>
        </w:rPr>
        <w:t xml:space="preserve"> kebenaran-dasar, tahap ini diperlakukan sebagai demonstrasi kualitatif dan tidak ada klaim IoU yang diajukan. Penilaian kesehatan tajuk mengklasifikasikan statistik warna dan tekstur kanal RGB di dalam tiap kotak dengan LightGBM [13], dengan fitur yang dipilih atas alasan agronomis, sebab klorosis termanifestasi sebagai pergeseran kehijauan.</w:t>
      </w:r>
    </w:p>
    <w:p>
      <w:pPr>
        <w:spacing w:before="0" w:after="100" w:line="240" w:lineRule="auto"/>
        <w:jc w:val="both"/>
      </w:pPr>
      <w:r>
        <w:rPr>
          <w:rFonts w:ascii="Times New Roman" w:hAnsi="Times New Roman" w:eastAsia="Times New Roman"/>
          <w:b w:val="0"/>
          <w:i w:val="0"/>
          <w:color w:val="000000"/>
          <w:sz w:val="21"/>
        </w:rPr>
        <w:t xml:space="preserve">Protokol evaluasinya ditentukan oleh keterbatasan data. Hanya tersedia tiga ortomosaik dan ubinnya saling bertindih rapat, sehingga pembagian acak dipastikan bocor dan seluruh evaluasi memakai validasi silang blok </w:t>
      </w:r>
      <w:r>
        <w:rPr>
          <w:rFonts w:ascii="Times New Roman" w:hAnsi="Times New Roman" w:eastAsia="Times New Roman"/>
          <w:b w:val="0"/>
          <w:i/>
          <w:color w:val="000000"/>
          <w:sz w:val="21"/>
        </w:rPr>
        <w:t>leave-one-ortho-out</w:t>
      </w:r>
      <w:r>
        <w:rPr>
          <w:rFonts w:ascii="Times New Roman" w:hAnsi="Times New Roman" w:eastAsia="Times New Roman"/>
          <w:b w:val="0"/>
          <w:i w:val="0"/>
          <w:color w:val="000000"/>
          <w:sz w:val="21"/>
        </w:rPr>
        <w:t xml:space="preserve">. Metriknya mAP untuk deteksi serta PR-AUC dan ROC-AUC untuk kesehatan, sedangkan akurasi tidak dilaporkan karena pada 66 positif dari 5.077 pohon sebuah pengklasifikasi yang selalu menjawab </w:t>
      </w:r>
      <w:r>
        <w:rPr>
          <w:rFonts w:ascii="Times New Roman" w:hAnsi="Times New Roman" w:eastAsia="Times New Roman"/>
          <w:b w:val="0"/>
          <w:i/>
          <w:color w:val="000000"/>
          <w:sz w:val="21"/>
        </w:rPr>
        <w:t>Healthy</w:t>
      </w:r>
      <w:r>
        <w:rPr>
          <w:rFonts w:ascii="Times New Roman" w:hAnsi="Times New Roman" w:eastAsia="Times New Roman"/>
          <w:b w:val="0"/>
          <w:i w:val="0"/>
          <w:color w:val="000000"/>
          <w:sz w:val="21"/>
        </w:rPr>
        <w:t xml:space="preserve"> sudah melampaui 98% akurasi tanpa kegunaan apa pun.</w:t>
      </w:r>
    </w:p>
    <w:p>
      <w:pPr>
        <w:keepNext/>
        <w:spacing w:before="120" w:after="50" w:line="240" w:lineRule="auto"/>
      </w:pPr>
      <w:r>
        <w:rPr>
          <w:rFonts w:ascii="Times New Roman" w:hAnsi="Times New Roman" w:eastAsia="Times New Roman"/>
          <w:b/>
          <w:color w:val="000000"/>
          <w:sz w:val="22"/>
        </w:rPr>
        <w:t>3.2  Layer 2: Data Lapangan dan Konstruksi Graf</w:t>
      </w:r>
    </w:p>
    <w:p>
      <w:pPr>
        <w:spacing w:before="0" w:after="100" w:line="240" w:lineRule="auto"/>
        <w:jc w:val="both"/>
      </w:pPr>
      <w:r>
        <w:rPr>
          <w:rFonts w:ascii="Times New Roman" w:hAnsi="Times New Roman" w:eastAsia="Times New Roman"/>
          <w:b w:val="0"/>
          <w:i w:val="0"/>
          <w:color w:val="000000"/>
          <w:sz w:val="21"/>
        </w:rPr>
        <w:t>Layer 2 dimulai dengan merekonstruksi tata letak kebun dari inventaris tajuk. Nama berkas tiap ubin menyimpan offset piksel absolutnya di ortomosaik induk, sehingga penjumlahan offset dengan pusat kotak pembatas memberi koordinat global pada setiap tajuk. Deteksi ganda antar-ubin digabungkan memakai aturan jarak, menyusutkan 151.060 kotak anotasi menjadi 5.077 pohon unik. Skala metrik diperoleh dengan memadankan jarak tetangga terdekat 101 sampai 106 piksel terhadap jarak tanam lazim 9 m.</w:t>
      </w:r>
    </w:p>
    <w:p>
      <w:pPr>
        <w:spacing w:before="0" w:after="100" w:line="240" w:lineRule="auto"/>
        <w:jc w:val="both"/>
      </w:pPr>
      <w:r>
        <w:rPr>
          <w:rFonts w:ascii="Times New Roman" w:hAnsi="Times New Roman" w:eastAsia="Times New Roman"/>
          <w:b w:val="0"/>
          <w:i w:val="0"/>
          <w:color w:val="000000"/>
          <w:sz w:val="21"/>
        </w:rPr>
        <w:t xml:space="preserve">Dinamika penularan diestimasi pada panel lapangan Eg9PP [2] yang berisi 1.200 sawit, 14 famili, 2 </w:t>
      </w:r>
      <w:r>
        <w:rPr>
          <w:rFonts w:ascii="Times New Roman" w:hAnsi="Times New Roman" w:eastAsia="Times New Roman"/>
          <w:b w:val="0"/>
          <w:i/>
          <w:color w:val="000000"/>
          <w:sz w:val="21"/>
        </w:rPr>
        <w:t>parcel</w:t>
      </w:r>
      <w:r>
        <w:rPr>
          <w:rFonts w:ascii="Times New Roman" w:hAnsi="Times New Roman" w:eastAsia="Times New Roman"/>
          <w:b w:val="0"/>
          <w:i w:val="0"/>
          <w:color w:val="000000"/>
          <w:sz w:val="21"/>
        </w:rPr>
        <w:t xml:space="preserve">, dan 45 sensus sepanjang 25 tahun, dengan gejala </w:t>
      </w:r>
      <w:r>
        <w:rPr>
          <w:rFonts w:ascii="Times New Roman" w:hAnsi="Times New Roman" w:eastAsia="Times New Roman"/>
          <w:b w:val="0"/>
          <w:i/>
          <w:color w:val="000000"/>
          <w:sz w:val="21"/>
        </w:rPr>
        <w:t>Ganoderma</w:t>
      </w:r>
      <w:r>
        <w:rPr>
          <w:rFonts w:ascii="Times New Roman" w:hAnsi="Times New Roman" w:eastAsia="Times New Roman"/>
          <w:b w:val="0"/>
          <w:i w:val="0"/>
          <w:color w:val="000000"/>
          <w:sz w:val="21"/>
        </w:rPr>
        <w:t xml:space="preserve"> terverifikasi lapangan per pohon dan tanpa citra sama sekali. Setelah koreksi skala sumbu, keenam tetangga terdekat jatuh tepat pada jarak 1,000, menandakan pola tanam segitiga sama sisi. Di atasnya dibangun graf kedekatan dengan sisi antar pohon berjarak paling jauh 1,5 kali jarak tanam, menghasilkan 3.354 sisi dengan derajat rata-rata 5,59. Relasinya disebut kedekatan dan bukan kontak akar, sesuai alasan yang diuraikan pada Subbab 2.1.</w:t>
      </w:r>
    </w:p>
    <w:p>
      <w:pPr>
        <w:spacing w:before="0" w:after="100" w:line="240" w:lineRule="auto"/>
        <w:jc w:val="both"/>
      </w:pPr>
      <w:r>
        <w:rPr>
          <w:rFonts w:ascii="Times New Roman" w:hAnsi="Times New Roman" w:eastAsia="Times New Roman"/>
          <w:b w:val="0"/>
          <w:i w:val="0"/>
          <w:color w:val="000000"/>
          <w:sz w:val="21"/>
        </w:rPr>
        <w:t>Kedua sumber data tidak digabungkan, karena tidak ada himpunan data yang memuat citra UAV sekaligus riwayat penyebaran per pohon. Yang diukur adalah kesesuaian bentuknya. Derajat rata-rata graf pada radius yang sama bernilai 5,62 pada geometri Layer 1 dan 5,74 pada Eg9PP, berselisih 2%. Ini pemeriksaan kewarasan dan bukan bukti keteralihan, sebab pada kisi segitiga cangkang tetangga pertama berisi enam pohon pada jarak 1,0 sementara cangkang berikutnya baru muncul pada 1,73, sehingga radius 1,5 memaksa derajat mendekati enam untuk kebun mana pun yang ditanam segitiga [17].</w:t>
      </w:r>
    </w:p>
    <w:p>
      <w:pPr>
        <w:spacing w:before="0" w:after="100" w:line="240" w:lineRule="auto"/>
        <w:jc w:val="both"/>
      </w:pPr>
      <w:r>
        <w:rPr>
          <w:rFonts w:ascii="Times New Roman" w:hAnsi="Times New Roman" w:eastAsia="Times New Roman"/>
          <w:b w:val="0"/>
          <w:i w:val="0"/>
          <w:color w:val="000000"/>
          <w:sz w:val="21"/>
        </w:rPr>
        <w:t xml:space="preserve">Tugas peramalan dirumuskan sebagai berikut. Pohon yang masih asimptomatik pada sensus </w:t>
      </w:r>
      <w:r>
        <w:rPr>
          <w:rFonts w:ascii="Times New Roman" w:hAnsi="Times New Roman" w:eastAsia="Times New Roman"/>
          <w:b w:val="0"/>
          <w:i/>
          <w:color w:val="000000"/>
          <w:sz w:val="21"/>
        </w:rPr>
        <w:t>t</w:t>
      </w:r>
      <w:r>
        <w:rPr>
          <w:rFonts w:ascii="Times New Roman" w:hAnsi="Times New Roman" w:eastAsia="Times New Roman"/>
          <w:b w:val="0"/>
          <w:i w:val="0"/>
          <w:color w:val="000000"/>
          <w:sz w:val="21"/>
        </w:rPr>
        <w:t xml:space="preserve"> masuk ke dalam </w:t>
      </w:r>
      <w:r>
        <w:rPr>
          <w:rFonts w:ascii="Times New Roman" w:hAnsi="Times New Roman" w:eastAsia="Times New Roman"/>
          <w:b w:val="0"/>
          <w:i/>
          <w:color w:val="000000"/>
          <w:sz w:val="21"/>
        </w:rPr>
        <w:t>risk set</w:t>
      </w:r>
      <w:r>
        <w:rPr>
          <w:rFonts w:ascii="Times New Roman" w:hAnsi="Times New Roman" w:eastAsia="Times New Roman"/>
          <w:b w:val="0"/>
          <w:i w:val="0"/>
          <w:color w:val="000000"/>
          <w:sz w:val="21"/>
        </w:rPr>
        <w:t xml:space="preserve">, dengan target apakah ia menjadi simptomatik atau mati dalam </w:t>
      </w:r>
      <w:r>
        <w:rPr>
          <w:rFonts w:ascii="Times New Roman" w:hAnsi="Times New Roman" w:eastAsia="Times New Roman"/>
          <w:b w:val="0"/>
          <w:i/>
          <w:color w:val="000000"/>
          <w:sz w:val="21"/>
        </w:rPr>
        <w:t>h</w:t>
      </w:r>
      <w:r>
        <w:rPr>
          <w:rFonts w:ascii="Times New Roman" w:hAnsi="Times New Roman" w:eastAsia="Times New Roman"/>
          <w:b w:val="0"/>
          <w:i w:val="0"/>
          <w:color w:val="000000"/>
          <w:sz w:val="21"/>
        </w:rPr>
        <w:t xml:space="preserve"> sensus berikutnya, untuk </w:t>
      </w:r>
      <w:r>
        <w:rPr>
          <w:rFonts w:ascii="Times New Roman" w:hAnsi="Times New Roman" w:eastAsia="Times New Roman"/>
          <w:b w:val="0"/>
          <w:i/>
          <w:color w:val="000000"/>
          <w:sz w:val="21"/>
        </w:rPr>
        <w:t>h</w:t>
      </w:r>
      <w:r>
        <w:rPr>
          <w:rFonts w:ascii="Times New Roman" w:hAnsi="Times New Roman" w:eastAsia="Times New Roman"/>
          <w:b w:val="0"/>
          <w:i w:val="0"/>
          <w:color w:val="000000"/>
          <w:sz w:val="21"/>
        </w:rPr>
        <w:t xml:space="preserve"> = 1 sampai 4. Pohon yang sudah bergejala, mati, atau tersensor dikeluarkan, dan pohon tersensor tidak dianggap sehat. Setiap model membaca jendela tiga sensus terakhir, dan genotipe wajib menjadi kovariat pada semua model termasuk garis dasar karena famili sekerabat ditanam berdekatan.</w:t>
      </w:r>
    </w:p>
    <w:p>
      <w:pPr>
        <w:spacing w:before="0" w:after="100" w:line="240" w:lineRule="auto"/>
        <w:jc w:val="both"/>
      </w:pPr>
      <w:r>
        <w:rPr>
          <w:rFonts w:ascii="Times New Roman" w:hAnsi="Times New Roman" w:eastAsia="Times New Roman"/>
          <w:b w:val="0"/>
          <w:i w:val="0"/>
          <w:color w:val="000000"/>
          <w:sz w:val="21"/>
        </w:rPr>
        <w:t xml:space="preserve">Tiga model diadu pada tugas identik, yaitu MLP tanpa graf dengan 3.713 parameter, STGNN yang memakai difusi tetangga dan GRU [20] dengan 8.875 parameter, serta STGNN+SI(D) yang menambahkan kepala epidemiologi terlatih sebesar tiga parameter saja, menjadi 8.878. MLP menerima seluruh informasi non-relasional tetapi tidak mengetahui siapa bertetangga dengan siapa, sehingga selisihnya terhadap model bergraf mengisolasi kontribusi struktur. Kompartemen laten </w:t>
      </w:r>
      <w:r>
        <w:rPr>
          <w:rFonts w:ascii="Times New Roman" w:hAnsi="Times New Roman" w:eastAsia="Times New Roman"/>
          <w:b w:val="0"/>
          <w:i/>
          <w:color w:val="000000"/>
          <w:sz w:val="21"/>
        </w:rPr>
        <w:t>E</w:t>
      </w:r>
      <w:r>
        <w:rPr>
          <w:rFonts w:ascii="Times New Roman" w:hAnsi="Times New Roman" w:eastAsia="Times New Roman"/>
          <w:b w:val="0"/>
          <w:i w:val="0"/>
          <w:color w:val="000000"/>
          <w:sz w:val="21"/>
        </w:rPr>
        <w:t xml:space="preserve"> tidak teramati di lapangan, sehingga kepala SEIR diturunkan menjadi SI(D). Keluaran ketiganya dinilai sebagai peringkat dengan AUC-PR, sedangkan kalibrasi skor menjadi persentase belum dikerjakan sehingga belum diklaim.</w:t>
      </w:r>
    </w:p>
    <w:p>
      <w:pPr>
        <w:spacing w:before="0" w:after="100" w:line="240" w:lineRule="auto"/>
        <w:jc w:val="both"/>
      </w:pPr>
      <w:r>
        <w:rPr>
          <w:rFonts w:ascii="Times New Roman" w:hAnsi="Times New Roman" w:eastAsia="Times New Roman"/>
          <w:b w:val="0"/>
          <w:i w:val="0"/>
          <w:color w:val="000000"/>
          <w:sz w:val="21"/>
        </w:rPr>
        <w:t xml:space="preserve">Selisih STGNN dikurangi MLP dipecah dengan menukar tampilan graf sambil menahan arsitektur tetap sama, menjadi temporal (tanpa-graf − MLP), prevalensi (acak − tanpa-graf), dan struktur (asli − acak), dengan tampilan acak mempertahankan derajat tiap pohon tetapi menghancurkan strukturnya. Karena tampilan acak global menghubungkan pohon berjarak median 13,2 jarak tanam, ditambahkan tangga kontrol acak-lokal yang membatasi setiap sisi baru pada 6 dan 3 jarak tanam agar lokalitas tidak tertukar dengan ketepatan peta. Evaluasinya memakai </w:t>
      </w:r>
      <w:r>
        <w:rPr>
          <w:rFonts w:ascii="Times New Roman" w:hAnsi="Times New Roman" w:eastAsia="Times New Roman"/>
          <w:b w:val="0"/>
          <w:i/>
          <w:color w:val="000000"/>
          <w:sz w:val="21"/>
        </w:rPr>
        <w:t>leave-one-parcel-out</w:t>
      </w:r>
      <w:r>
        <w:rPr>
          <w:rFonts w:ascii="Times New Roman" w:hAnsi="Times New Roman" w:eastAsia="Times New Roman"/>
          <w:b w:val="0"/>
          <w:i w:val="0"/>
          <w:color w:val="000000"/>
          <w:sz w:val="21"/>
        </w:rPr>
        <w:t xml:space="preserve"> dua lipatan dengan nol sisi melintas </w:t>
      </w:r>
      <w:r>
        <w:rPr>
          <w:rFonts w:ascii="Times New Roman" w:hAnsi="Times New Roman" w:eastAsia="Times New Roman"/>
          <w:b w:val="0"/>
          <w:i/>
          <w:color w:val="000000"/>
          <w:sz w:val="21"/>
        </w:rPr>
        <w:t>parcel</w:t>
      </w:r>
      <w:r>
        <w:rPr>
          <w:rFonts w:ascii="Times New Roman" w:hAnsi="Times New Roman" w:eastAsia="Times New Roman"/>
          <w:b w:val="0"/>
          <w:i w:val="0"/>
          <w:color w:val="000000"/>
          <w:sz w:val="21"/>
        </w:rPr>
        <w:t xml:space="preserve">, dijalankan pada 20 </w:t>
      </w:r>
      <w:r>
        <w:rPr>
          <w:rFonts w:ascii="Times New Roman" w:hAnsi="Times New Roman" w:eastAsia="Times New Roman"/>
          <w:b w:val="0"/>
          <w:i/>
          <w:color w:val="000000"/>
          <w:sz w:val="21"/>
        </w:rPr>
        <w:t>seed</w:t>
      </w:r>
      <w:r>
        <w:rPr>
          <w:rFonts w:ascii="Times New Roman" w:hAnsi="Times New Roman" w:eastAsia="Times New Roman"/>
          <w:b w:val="0"/>
          <w:i w:val="0"/>
          <w:color w:val="000000"/>
          <w:sz w:val="21"/>
        </w:rPr>
        <w:t xml:space="preserve"> sehingga menghasilkan 40 pasangan, dan aturan keputusannya ditetapkan sebelum hasil dilihat, yaitu selisih yang berada di dalam satu simpangan baku dinyatakan tidak konklusif.</w:t>
      </w:r>
    </w:p>
    <w:p>
      <w:pPr>
        <w:keepNext/>
        <w:spacing w:before="120" w:after="50" w:line="240" w:lineRule="auto"/>
      </w:pPr>
      <w:r>
        <w:rPr>
          <w:rFonts w:ascii="Times New Roman" w:hAnsi="Times New Roman" w:eastAsia="Times New Roman"/>
          <w:b/>
          <w:color w:val="000000"/>
          <w:sz w:val="22"/>
        </w:rPr>
        <w:t>3.3  Hasil dan Keluaran Sistem</w:t>
      </w:r>
    </w:p>
    <w:p>
      <w:pPr>
        <w:spacing w:before="0" w:after="100" w:line="240" w:lineRule="auto"/>
        <w:jc w:val="both"/>
      </w:pPr>
      <w:r>
        <w:rPr>
          <w:rFonts w:ascii="Times New Roman" w:hAnsi="Times New Roman" w:eastAsia="Times New Roman"/>
          <w:b w:val="0"/>
          <w:i w:val="0"/>
          <w:color w:val="000000"/>
          <w:sz w:val="21"/>
        </w:rPr>
        <w:t>Pada tahap konsep ini yang dilaporkan hanyalah bukti dari Layer 2, sebab di situlah premis pendekatan berbasis graf dipertaruhkan. Hasil Layer 1 tidak diuraikan karena deteksi tajuk dari citra UAV sudah merupakan persoalan yang mapan, sedangkan pertanyaan yang belum terjawab adalah apakah peta tetangga benar-benar membantu meramalkan penularan. Rincian dekomposisinya per horizon disajikan pada Lampiran A.</w:t>
      </w:r>
    </w:p>
    <w:p>
      <w:pPr>
        <w:spacing w:before="0" w:after="100" w:line="240" w:lineRule="auto"/>
        <w:jc w:val="both"/>
      </w:pPr>
      <w:r>
        <w:rPr>
          <w:rFonts w:ascii="Times New Roman" w:hAnsi="Times New Roman" w:eastAsia="Times New Roman"/>
          <w:b w:val="0"/>
          <w:i w:val="0"/>
          <w:color w:val="000000"/>
          <w:sz w:val="21"/>
        </w:rPr>
        <w:t xml:space="preserve">Satu-satunya komponen yang bertahan adalah struktur, dan kekuatannya justru menguat seiring bertambahnya horizon, yaitu dari +0,0044 AUC-PR pada </w:t>
      </w:r>
      <w:r>
        <w:rPr>
          <w:rFonts w:ascii="Times New Roman" w:hAnsi="Times New Roman" w:eastAsia="Times New Roman"/>
          <w:b w:val="0"/>
          <w:i/>
          <w:color w:val="000000"/>
          <w:sz w:val="21"/>
        </w:rPr>
        <w:t>h</w:t>
      </w:r>
      <w:r>
        <w:rPr>
          <w:rFonts w:ascii="Times New Roman" w:hAnsi="Times New Roman" w:eastAsia="Times New Roman"/>
          <w:b w:val="0"/>
          <w:i w:val="0"/>
          <w:color w:val="000000"/>
          <w:sz w:val="21"/>
        </w:rPr>
        <w:t xml:space="preserve"> = 1 dengan 30 dari 40 pasangan menjadi +0,0165 pada </w:t>
      </w:r>
      <w:r>
        <w:rPr>
          <w:rFonts w:ascii="Times New Roman" w:hAnsi="Times New Roman" w:eastAsia="Times New Roman"/>
          <w:b w:val="0"/>
          <w:i/>
          <w:color w:val="000000"/>
          <w:sz w:val="21"/>
        </w:rPr>
        <w:t>h</w:t>
      </w:r>
      <w:r>
        <w:rPr>
          <w:rFonts w:ascii="Times New Roman" w:hAnsi="Times New Roman" w:eastAsia="Times New Roman"/>
          <w:b w:val="0"/>
          <w:i w:val="0"/>
          <w:color w:val="000000"/>
          <w:sz w:val="21"/>
        </w:rPr>
        <w:t xml:space="preserve"> = 4 dengan 39 dari 40 pasangan. Efek tersebut bertahan terhadap tiga kontrol, yaitu tampilan acak yang mempertahankan derajat setiap pohon, </w:t>
      </w:r>
      <w:r>
        <w:rPr>
          <w:rFonts w:ascii="Times New Roman" w:hAnsi="Times New Roman" w:eastAsia="Times New Roman"/>
          <w:b w:val="0"/>
          <w:i/>
          <w:color w:val="000000"/>
          <w:sz w:val="21"/>
        </w:rPr>
        <w:t>null</w:t>
      </w:r>
      <w:r>
        <w:rPr>
          <w:rFonts w:ascii="Times New Roman" w:hAnsi="Times New Roman" w:eastAsia="Times New Roman"/>
          <w:b w:val="0"/>
          <w:i w:val="0"/>
          <w:color w:val="000000"/>
          <w:sz w:val="21"/>
        </w:rPr>
        <w:t xml:space="preserve"> permutasi yang diacak di dalam famili, serta tangga lokalitas yang menyisakan 78 sampai 85% efeknya ketika graf pembanding dipaksa tetap lokal.</w:t>
      </w:r>
    </w:p>
    <w:p>
      <w:pPr>
        <w:spacing w:before="0" w:after="100" w:line="240" w:lineRule="auto"/>
        <w:jc w:val="both"/>
      </w:pPr>
      <w:r>
        <w:rPr>
          <w:rFonts w:ascii="Times New Roman" w:hAnsi="Times New Roman" w:eastAsia="Times New Roman"/>
          <w:b w:val="0"/>
          <w:i w:val="0"/>
          <w:color w:val="000000"/>
          <w:sz w:val="21"/>
        </w:rPr>
        <w:t>Sisanya tidak mendukung. Komponen temporal dan prevalensi tidak konklusif menurut aturan yang ditetapkan sebelum hasil dilihat, dan yang temporal bahkan meluruh mendekati nol pada horizon terjauh. Sebabnya struktural, yaitu Eg9PP tidak memiliki citra sehingga riwayat pohon selagi asimptomatik praktis tidak membawa informasi. Penambahan kepala epidemiologi terlatih justru merugikan pada keempat horizon dan kerugiannya membesar dari −0,0115 menjadi −0,0426, sementara empat upaya menaikkan mutunya seluruhnya gagal. Bukti penularan spasial pada tingkat asosiasi juga melemah, karena risiko relatif gabungan sebesar 4,47 kali turun menjadi 1,65 kali setelah stratifikasi Mantel-Haenszel per sensus [19].</w:t>
      </w:r>
    </w:p>
    <w:p>
      <w:pPr>
        <w:spacing w:before="0" w:after="100" w:line="240" w:lineRule="auto"/>
        <w:jc w:val="both"/>
      </w:pPr>
      <w:r>
        <w:rPr>
          <w:rFonts w:ascii="Times New Roman" w:hAnsi="Times New Roman" w:eastAsia="Times New Roman"/>
          <w:b w:val="0"/>
          <w:i w:val="0"/>
          <w:color w:val="000000"/>
          <w:sz w:val="21"/>
        </w:rPr>
        <w:t xml:space="preserve">Keluaran sistem bagi pengguna ada dua, sebagaimana ditandai pada Gambar 1. Yang pertama adalah daftar intervensi berperingkat, berisi ID pohon, koordinatnya, dan skor risikonya, yang dipotong pada </w:t>
      </w:r>
      <w:r>
        <w:rPr>
          <w:rFonts w:ascii="Times New Roman" w:hAnsi="Times New Roman" w:eastAsia="Times New Roman"/>
          <w:b w:val="0"/>
          <w:i/>
          <w:color w:val="000000"/>
          <w:sz w:val="21"/>
        </w:rPr>
        <w:t>k</w:t>
      </w:r>
      <w:r>
        <w:rPr>
          <w:rFonts w:ascii="Times New Roman" w:hAnsi="Times New Roman" w:eastAsia="Times New Roman"/>
          <w:b w:val="0"/>
          <w:i w:val="0"/>
          <w:color w:val="000000"/>
          <w:sz w:val="21"/>
        </w:rPr>
        <w:t xml:space="preserve"> teratas sesuai jumlah pohon yang sanggup diperiksa dalam satu siklus. Yang kedua adalah peta risiko tingkat blok, yaitu skor yang ditumpangkan pada kisi tanam hasil Tahap 4 sehingga sensus lapangan berikutnya dapat diarahkan ke blok yang paling berisiko. Koordinat itulah alasan Layer 1 tetap diperlukan, sebab skor risiko tanpa lokasi tidak dapat menggerakkan tim ke lapangan. Pada tahap konsep ini keduanya belum dihasilkan, karena keluaran model masih berupa peringkat dan kalibrasi skor menjadi persentase belum dikerjakan.</w:t>
      </w:r>
    </w:p>
    <w:p>
      <w:r>
        <w:br w:type="page"/>
      </w:r>
    </w:p>
    <w:p>
      <w:pPr>
        <w:keepNext/>
        <w:spacing w:before="0" w:after="50" w:line="240" w:lineRule="auto"/>
      </w:pPr>
      <w:r>
        <w:rPr>
          <w:rFonts w:ascii="Times New Roman" w:hAnsi="Times New Roman" w:eastAsia="Times New Roman"/>
          <w:b/>
          <w:color w:val="000000"/>
          <w:sz w:val="22"/>
        </w:rPr>
        <w:t>Lampiran A. Dekomposisi Selisih STGNN dikurangi MLP</w:t>
      </w:r>
    </w:p>
    <w:p>
      <w:pPr>
        <w:spacing w:before="0" w:after="100" w:line="240" w:lineRule="auto"/>
        <w:jc w:val="both"/>
      </w:pPr>
      <w:r>
        <w:rPr>
          <w:rFonts w:ascii="Times New Roman" w:hAnsi="Times New Roman" w:eastAsia="Times New Roman"/>
          <w:b w:val="0"/>
          <w:i w:val="0"/>
          <w:color w:val="000000"/>
          <w:sz w:val="21"/>
        </w:rPr>
        <w:t xml:space="preserve">Nilai pada tabel adalah selisih AUC-PR terhadap pembanding masing-masing komponen, dirata-ratakan pada 20 </w:t>
      </w:r>
      <w:r>
        <w:rPr>
          <w:rFonts w:ascii="Times New Roman" w:hAnsi="Times New Roman" w:eastAsia="Times New Roman"/>
          <w:b w:val="0"/>
          <w:i/>
          <w:color w:val="000000"/>
          <w:sz w:val="21"/>
        </w:rPr>
        <w:t>seed</w:t>
      </w:r>
      <w:r>
        <w:rPr>
          <w:rFonts w:ascii="Times New Roman" w:hAnsi="Times New Roman" w:eastAsia="Times New Roman"/>
          <w:b w:val="0"/>
          <w:i w:val="0"/>
          <w:color w:val="000000"/>
          <w:sz w:val="21"/>
        </w:rPr>
        <w:t xml:space="preserve"> dan 2 lipatan </w:t>
      </w:r>
      <w:r>
        <w:rPr>
          <w:rFonts w:ascii="Times New Roman" w:hAnsi="Times New Roman" w:eastAsia="Times New Roman"/>
          <w:b w:val="0"/>
          <w:i/>
          <w:color w:val="000000"/>
          <w:sz w:val="21"/>
        </w:rPr>
        <w:t>leave-one-parcel-out</w:t>
      </w:r>
      <w:r>
        <w:rPr>
          <w:rFonts w:ascii="Times New Roman" w:hAnsi="Times New Roman" w:eastAsia="Times New Roman"/>
          <w:b w:val="0"/>
          <w:i w:val="0"/>
          <w:color w:val="000000"/>
          <w:sz w:val="21"/>
        </w:rPr>
        <w:t>. Angka dalam kurung adalah hitungan tanda, yaitu banyaknya pasangan dari 40 yang selisihnya positif. Kolom kepala SI(D) adalah selisih STGNN+SI(D) dikurangi STGNN, sehingga nilai negatif berarti kepala epidemiologi terlatih memperburuk peringkat.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before="20" w:after="20" w:line="240" w:lineRule="auto"/>
              <w:jc w:val="center"/>
            </w:pPr>
            <w:r>
              <w:rPr>
                <w:rFonts w:ascii="Times New Roman" w:hAnsi="Times New Roman" w:eastAsia="Times New Roman"/>
                <w:b/>
                <w:i w:val="0"/>
                <w:color w:val="000000"/>
                <w:sz w:val="16"/>
              </w:rPr>
              <w:t>h</w:t>
            </w:r>
          </w:p>
        </w:tc>
        <w:tc>
          <w:tcPr>
            <w:tcW w:type="dxa" w:w="1994"/>
          </w:tcPr>
          <w:p>
            <w:pPr>
              <w:spacing w:before="20" w:after="20" w:line="240" w:lineRule="auto"/>
              <w:jc w:val="center"/>
            </w:pPr>
            <w:r>
              <w:rPr>
                <w:rFonts w:ascii="Times New Roman" w:hAnsi="Times New Roman" w:eastAsia="Times New Roman"/>
                <w:b/>
                <w:i w:val="0"/>
                <w:color w:val="000000"/>
                <w:sz w:val="16"/>
              </w:rPr>
              <w:t>temporal</w:t>
            </w:r>
          </w:p>
        </w:tc>
        <w:tc>
          <w:tcPr>
            <w:tcW w:type="dxa" w:w="1994"/>
          </w:tcPr>
          <w:p>
            <w:pPr>
              <w:spacing w:before="20" w:after="20" w:line="240" w:lineRule="auto"/>
              <w:jc w:val="center"/>
            </w:pPr>
            <w:r>
              <w:rPr>
                <w:rFonts w:ascii="Times New Roman" w:hAnsi="Times New Roman" w:eastAsia="Times New Roman"/>
                <w:b/>
                <w:i w:val="0"/>
                <w:color w:val="000000"/>
                <w:sz w:val="16"/>
              </w:rPr>
              <w:t>prevalensi</w:t>
            </w:r>
          </w:p>
        </w:tc>
        <w:tc>
          <w:tcPr>
            <w:tcW w:type="dxa" w:w="1994"/>
          </w:tcPr>
          <w:p>
            <w:pPr>
              <w:spacing w:before="20" w:after="20" w:line="240" w:lineRule="auto"/>
              <w:jc w:val="center"/>
            </w:pPr>
            <w:r>
              <w:rPr>
                <w:rFonts w:ascii="Times New Roman" w:hAnsi="Times New Roman" w:eastAsia="Times New Roman"/>
                <w:b/>
                <w:i w:val="0"/>
                <w:color w:val="000000"/>
                <w:sz w:val="16"/>
              </w:rPr>
              <w:t>struktur</w:t>
            </w:r>
          </w:p>
        </w:tc>
        <w:tc>
          <w:tcPr>
            <w:tcW w:type="dxa" w:w="1994"/>
          </w:tcPr>
          <w:p>
            <w:pPr>
              <w:spacing w:before="20" w:after="20" w:line="240" w:lineRule="auto"/>
              <w:jc w:val="center"/>
            </w:pPr>
            <w:r>
              <w:rPr>
                <w:rFonts w:ascii="Times New Roman" w:hAnsi="Times New Roman" w:eastAsia="Times New Roman"/>
                <w:b/>
                <w:i w:val="0"/>
                <w:color w:val="000000"/>
                <w:sz w:val="16"/>
              </w:rPr>
              <w:t>kepala SI(D)</w:t>
            </w:r>
          </w:p>
        </w:tc>
      </w:tr>
      <w:tr>
        <w:tc>
          <w:tcPr>
            <w:tcW w:type="dxa" w:w="1994"/>
          </w:tcPr>
          <w:p>
            <w:pPr>
              <w:spacing w:before="20" w:after="20" w:line="240" w:lineRule="auto"/>
              <w:jc w:val="center"/>
            </w:pPr>
            <w:r>
              <w:rPr>
                <w:rFonts w:ascii="Times New Roman" w:hAnsi="Times New Roman" w:eastAsia="Times New Roman"/>
                <w:b w:val="0"/>
                <w:i w:val="0"/>
                <w:color w:val="000000"/>
                <w:sz w:val="16"/>
              </w:rPr>
              <w:t>1</w:t>
            </w:r>
          </w:p>
        </w:tc>
        <w:tc>
          <w:tcPr>
            <w:tcW w:type="dxa" w:w="1994"/>
          </w:tcPr>
          <w:p>
            <w:pPr>
              <w:spacing w:before="20" w:after="20" w:line="240" w:lineRule="auto"/>
              <w:jc w:val="center"/>
            </w:pPr>
            <w:r>
              <w:rPr>
                <w:rFonts w:ascii="Times New Roman" w:hAnsi="Times New Roman" w:eastAsia="Times New Roman"/>
                <w:b w:val="0"/>
                <w:i w:val="0"/>
                <w:color w:val="000000"/>
                <w:sz w:val="16"/>
              </w:rPr>
              <w:t>+0,0044 (34/40)</w:t>
            </w:r>
          </w:p>
        </w:tc>
        <w:tc>
          <w:tcPr>
            <w:tcW w:type="dxa" w:w="1994"/>
          </w:tcPr>
          <w:p>
            <w:pPr>
              <w:spacing w:before="20" w:after="20" w:line="240" w:lineRule="auto"/>
              <w:jc w:val="center"/>
            </w:pPr>
            <w:r>
              <w:rPr>
                <w:rFonts w:ascii="Times New Roman" w:hAnsi="Times New Roman" w:eastAsia="Times New Roman"/>
                <w:b w:val="0"/>
                <w:i w:val="0"/>
                <w:color w:val="000000"/>
                <w:sz w:val="16"/>
              </w:rPr>
              <w:t>+0,0026 (32/40)</w:t>
            </w:r>
          </w:p>
        </w:tc>
        <w:tc>
          <w:tcPr>
            <w:tcW w:type="dxa" w:w="1994"/>
          </w:tcPr>
          <w:p>
            <w:pPr>
              <w:spacing w:before="20" w:after="20" w:line="240" w:lineRule="auto"/>
              <w:jc w:val="center"/>
            </w:pPr>
            <w:r>
              <w:rPr>
                <w:rFonts w:ascii="Times New Roman" w:hAnsi="Times New Roman" w:eastAsia="Times New Roman"/>
                <w:b w:val="0"/>
                <w:i w:val="0"/>
                <w:color w:val="000000"/>
                <w:sz w:val="16"/>
              </w:rPr>
              <w:t>+0,0044 (30/40)</w:t>
            </w:r>
          </w:p>
        </w:tc>
        <w:tc>
          <w:tcPr>
            <w:tcW w:type="dxa" w:w="1994"/>
          </w:tcPr>
          <w:p>
            <w:pPr>
              <w:spacing w:before="20" w:after="20" w:line="240" w:lineRule="auto"/>
              <w:jc w:val="center"/>
            </w:pPr>
            <w:r>
              <w:rPr>
                <w:rFonts w:ascii="Times New Roman" w:hAnsi="Times New Roman" w:eastAsia="Times New Roman"/>
                <w:b w:val="0"/>
                <w:i w:val="0"/>
                <w:color w:val="000000"/>
                <w:sz w:val="16"/>
              </w:rPr>
              <w:t>−0,0115</w:t>
            </w:r>
          </w:p>
        </w:tc>
      </w:tr>
      <w:tr>
        <w:tc>
          <w:tcPr>
            <w:tcW w:type="dxa" w:w="1994"/>
          </w:tcPr>
          <w:p>
            <w:pPr>
              <w:spacing w:before="20" w:after="20" w:line="240" w:lineRule="auto"/>
              <w:jc w:val="center"/>
            </w:pPr>
            <w:r>
              <w:rPr>
                <w:rFonts w:ascii="Times New Roman" w:hAnsi="Times New Roman" w:eastAsia="Times New Roman"/>
                <w:b w:val="0"/>
                <w:i w:val="0"/>
                <w:color w:val="000000"/>
                <w:sz w:val="16"/>
              </w:rPr>
              <w:t>2</w:t>
            </w:r>
          </w:p>
        </w:tc>
        <w:tc>
          <w:tcPr>
            <w:tcW w:type="dxa" w:w="1994"/>
          </w:tcPr>
          <w:p>
            <w:pPr>
              <w:spacing w:before="20" w:after="20" w:line="240" w:lineRule="auto"/>
              <w:jc w:val="center"/>
            </w:pPr>
            <w:r>
              <w:rPr>
                <w:rFonts w:ascii="Times New Roman" w:hAnsi="Times New Roman" w:eastAsia="Times New Roman"/>
                <w:b w:val="0"/>
                <w:i w:val="0"/>
                <w:color w:val="000000"/>
                <w:sz w:val="16"/>
              </w:rPr>
              <w:t>+0,0034 (27/40)</w:t>
            </w:r>
          </w:p>
        </w:tc>
        <w:tc>
          <w:tcPr>
            <w:tcW w:type="dxa" w:w="1994"/>
          </w:tcPr>
          <w:p>
            <w:pPr>
              <w:spacing w:before="20" w:after="20" w:line="240" w:lineRule="auto"/>
              <w:jc w:val="center"/>
            </w:pPr>
            <w:r>
              <w:rPr>
                <w:rFonts w:ascii="Times New Roman" w:hAnsi="Times New Roman" w:eastAsia="Times New Roman"/>
                <w:b w:val="0"/>
                <w:i w:val="0"/>
                <w:color w:val="000000"/>
                <w:sz w:val="16"/>
              </w:rPr>
              <w:t>+0,0029 (33/40)</w:t>
            </w:r>
          </w:p>
        </w:tc>
        <w:tc>
          <w:tcPr>
            <w:tcW w:type="dxa" w:w="1994"/>
          </w:tcPr>
          <w:p>
            <w:pPr>
              <w:spacing w:before="20" w:after="20" w:line="240" w:lineRule="auto"/>
              <w:jc w:val="center"/>
            </w:pPr>
            <w:r>
              <w:rPr>
                <w:rFonts w:ascii="Times New Roman" w:hAnsi="Times New Roman" w:eastAsia="Times New Roman"/>
                <w:b w:val="0"/>
                <w:i w:val="0"/>
                <w:color w:val="000000"/>
                <w:sz w:val="16"/>
              </w:rPr>
              <w:t>+0,0098 (37/40)</w:t>
            </w:r>
          </w:p>
        </w:tc>
        <w:tc>
          <w:tcPr>
            <w:tcW w:type="dxa" w:w="1994"/>
          </w:tcPr>
          <w:p>
            <w:pPr>
              <w:spacing w:before="20" w:after="20" w:line="240" w:lineRule="auto"/>
              <w:jc w:val="center"/>
            </w:pPr>
            <w:r>
              <w:rPr>
                <w:rFonts w:ascii="Times New Roman" w:hAnsi="Times New Roman" w:eastAsia="Times New Roman"/>
                <w:b w:val="0"/>
                <w:i w:val="0"/>
                <w:color w:val="000000"/>
                <w:sz w:val="16"/>
              </w:rPr>
              <w:t>−0,0230</w:t>
            </w:r>
          </w:p>
        </w:tc>
      </w:tr>
      <w:tr>
        <w:tc>
          <w:tcPr>
            <w:tcW w:type="dxa" w:w="1994"/>
          </w:tcPr>
          <w:p>
            <w:pPr>
              <w:spacing w:before="20" w:after="20" w:line="240" w:lineRule="auto"/>
              <w:jc w:val="center"/>
            </w:pPr>
            <w:r>
              <w:rPr>
                <w:rFonts w:ascii="Times New Roman" w:hAnsi="Times New Roman" w:eastAsia="Times New Roman"/>
                <w:b w:val="0"/>
                <w:i w:val="0"/>
                <w:color w:val="000000"/>
                <w:sz w:val="16"/>
              </w:rPr>
              <w:t>3</w:t>
            </w:r>
          </w:p>
        </w:tc>
        <w:tc>
          <w:tcPr>
            <w:tcW w:type="dxa" w:w="1994"/>
          </w:tcPr>
          <w:p>
            <w:pPr>
              <w:spacing w:before="20" w:after="20" w:line="240" w:lineRule="auto"/>
              <w:jc w:val="center"/>
            </w:pPr>
            <w:r>
              <w:rPr>
                <w:rFonts w:ascii="Times New Roman" w:hAnsi="Times New Roman" w:eastAsia="Times New Roman"/>
                <w:b w:val="0"/>
                <w:i w:val="0"/>
                <w:color w:val="000000"/>
                <w:sz w:val="16"/>
              </w:rPr>
              <w:t>+0,0021 (21/40)</w:t>
            </w:r>
          </w:p>
        </w:tc>
        <w:tc>
          <w:tcPr>
            <w:tcW w:type="dxa" w:w="1994"/>
          </w:tcPr>
          <w:p>
            <w:pPr>
              <w:spacing w:before="20" w:after="20" w:line="240" w:lineRule="auto"/>
              <w:jc w:val="center"/>
            </w:pPr>
            <w:r>
              <w:rPr>
                <w:rFonts w:ascii="Times New Roman" w:hAnsi="Times New Roman" w:eastAsia="Times New Roman"/>
                <w:b w:val="0"/>
                <w:i w:val="0"/>
                <w:color w:val="000000"/>
                <w:sz w:val="16"/>
              </w:rPr>
              <w:t>+0,0021 (25/40)</w:t>
            </w:r>
          </w:p>
        </w:tc>
        <w:tc>
          <w:tcPr>
            <w:tcW w:type="dxa" w:w="1994"/>
          </w:tcPr>
          <w:p>
            <w:pPr>
              <w:spacing w:before="20" w:after="20" w:line="240" w:lineRule="auto"/>
              <w:jc w:val="center"/>
            </w:pPr>
            <w:r>
              <w:rPr>
                <w:rFonts w:ascii="Times New Roman" w:hAnsi="Times New Roman" w:eastAsia="Times New Roman"/>
                <w:b w:val="0"/>
                <w:i w:val="0"/>
                <w:color w:val="000000"/>
                <w:sz w:val="16"/>
              </w:rPr>
              <w:t>+0,0151 (39/40)</w:t>
            </w:r>
          </w:p>
        </w:tc>
        <w:tc>
          <w:tcPr>
            <w:tcW w:type="dxa" w:w="1994"/>
          </w:tcPr>
          <w:p>
            <w:pPr>
              <w:spacing w:before="20" w:after="20" w:line="240" w:lineRule="auto"/>
              <w:jc w:val="center"/>
            </w:pPr>
            <w:r>
              <w:rPr>
                <w:rFonts w:ascii="Times New Roman" w:hAnsi="Times New Roman" w:eastAsia="Times New Roman"/>
                <w:b w:val="0"/>
                <w:i w:val="0"/>
                <w:color w:val="000000"/>
                <w:sz w:val="16"/>
              </w:rPr>
              <w:t>−0,0293</w:t>
            </w:r>
          </w:p>
        </w:tc>
      </w:tr>
      <w:tr>
        <w:tc>
          <w:tcPr>
            <w:tcW w:type="dxa" w:w="1994"/>
          </w:tcPr>
          <w:p>
            <w:pPr>
              <w:spacing w:before="20" w:after="20" w:line="240" w:lineRule="auto"/>
              <w:jc w:val="center"/>
            </w:pPr>
            <w:r>
              <w:rPr>
                <w:rFonts w:ascii="Times New Roman" w:hAnsi="Times New Roman" w:eastAsia="Times New Roman"/>
                <w:b w:val="0"/>
                <w:i w:val="0"/>
                <w:color w:val="000000"/>
                <w:sz w:val="16"/>
              </w:rPr>
              <w:t>4</w:t>
            </w:r>
          </w:p>
        </w:tc>
        <w:tc>
          <w:tcPr>
            <w:tcW w:type="dxa" w:w="1994"/>
          </w:tcPr>
          <w:p>
            <w:pPr>
              <w:spacing w:before="20" w:after="20" w:line="240" w:lineRule="auto"/>
              <w:jc w:val="center"/>
            </w:pPr>
            <w:r>
              <w:rPr>
                <w:rFonts w:ascii="Times New Roman" w:hAnsi="Times New Roman" w:eastAsia="Times New Roman"/>
                <w:b w:val="0"/>
                <w:i w:val="0"/>
                <w:color w:val="000000"/>
                <w:sz w:val="16"/>
              </w:rPr>
              <w:t>+0,0011 (19/40)</w:t>
            </w:r>
          </w:p>
        </w:tc>
        <w:tc>
          <w:tcPr>
            <w:tcW w:type="dxa" w:w="1994"/>
          </w:tcPr>
          <w:p>
            <w:pPr>
              <w:spacing w:before="20" w:after="20" w:line="240" w:lineRule="auto"/>
              <w:jc w:val="center"/>
            </w:pPr>
            <w:r>
              <w:rPr>
                <w:rFonts w:ascii="Times New Roman" w:hAnsi="Times New Roman" w:eastAsia="Times New Roman"/>
                <w:b w:val="0"/>
                <w:i w:val="0"/>
                <w:color w:val="000000"/>
                <w:sz w:val="16"/>
              </w:rPr>
              <w:t>+0,0018 (26/40)</w:t>
            </w:r>
          </w:p>
        </w:tc>
        <w:tc>
          <w:tcPr>
            <w:tcW w:type="dxa" w:w="1994"/>
          </w:tcPr>
          <w:p>
            <w:pPr>
              <w:spacing w:before="20" w:after="20" w:line="240" w:lineRule="auto"/>
              <w:jc w:val="center"/>
            </w:pPr>
            <w:r>
              <w:rPr>
                <w:rFonts w:ascii="Times New Roman" w:hAnsi="Times New Roman" w:eastAsia="Times New Roman"/>
                <w:b w:val="0"/>
                <w:i w:val="0"/>
                <w:color w:val="000000"/>
                <w:sz w:val="16"/>
              </w:rPr>
              <w:t>+0,0165 (39/40)</w:t>
            </w:r>
          </w:p>
        </w:tc>
        <w:tc>
          <w:tcPr>
            <w:tcW w:type="dxa" w:w="1994"/>
          </w:tcPr>
          <w:p>
            <w:pPr>
              <w:spacing w:before="20" w:after="20" w:line="240" w:lineRule="auto"/>
              <w:jc w:val="center"/>
            </w:pPr>
            <w:r>
              <w:rPr>
                <w:rFonts w:ascii="Times New Roman" w:hAnsi="Times New Roman" w:eastAsia="Times New Roman"/>
                <w:b w:val="0"/>
                <w:i w:val="0"/>
                <w:color w:val="000000"/>
                <w:sz w:val="16"/>
              </w:rPr>
              <w:t>−0,0426</w:t>
            </w:r>
          </w:p>
        </w:tc>
      </w:tr>
    </w:tbl>
    <w:p>
      <w:pPr>
        <w:spacing w:before="80" w:after="100" w:line="240" w:lineRule="auto"/>
        <w:jc w:val="center"/>
      </w:pPr>
      <w:r>
        <w:rPr>
          <w:rFonts w:ascii="Times New Roman" w:hAnsi="Times New Roman" w:eastAsia="Times New Roman"/>
          <w:b w:val="0"/>
          <w:i w:val="0"/>
          <w:color w:val="404040"/>
          <w:sz w:val="17"/>
        </w:rPr>
        <w:t>Tabel A1: Dekomposisi selisih STGNN dikurangi MLP menjadi komponen temporal, prevalensi, dan struktur, beserta kontribusi kepala SI(D), pada keempat horizon.</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