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SimHei" w:hAnsi="SimHei" w:eastAsia="黑体"/>
          <w:b/>
        </w:rPr>
        <w:t>公共数据开放量增长30%背后：授权运营如何让数据真正跑起来</w:t>
      </w:r>
    </w:p>
    <w:p>
      <w:pPr>
        <w:spacing w:after="80"/>
      </w:pPr>
      <w:r>
        <w:rPr>
          <w:rFonts w:ascii="SimSun" w:hAnsi="SimSun" w:eastAsia="宋体"/>
          <w:b/>
          <w:color w:val="0B57B7"/>
          <w:sz w:val="24"/>
        </w:rPr>
        <w:t>国家数据局'1+3'政策体系落地一年，公共数据开放量、授权运营量同比增长均超30%。增长背后，授权运营与可信数据空间正在重塑政府与市场的分工边界。</w:t>
      </w:r>
    </w:p>
    <w:p>
      <w:pPr>
        <w:spacing w:after="280"/>
        <w:pBdr>
          <w:bottom w:val="single" w:sz="8" w:space="6" w:color="CFE4F2"/>
        </w:pBdr>
      </w:pPr>
      <w:r>
        <w:rPr>
          <w:color w:val="6B7280"/>
          <w:sz w:val="19"/>
        </w:rPr>
        <w:t>数据要素治理 · 2026-08-25</w:t>
      </w:r>
    </w:p>
    <w:p>
      <w:pPr>
        <w:pStyle w:val="Heading2"/>
        <w:keepNext/>
        <w:widowControl/>
        <w:spacing w:before="320" w:after="160"/>
      </w:pPr>
      <w:r>
        <w:rPr>
          <w:b/>
        </w:rPr>
        <w:t>增长30%之后，真正的考验才开始</w:t>
      </w:r>
    </w:p>
    <w:p>
      <w:pPr>
        <w:widowControl/>
        <w:ind w:firstLine="460"/>
        <w:jc w:val="both"/>
      </w:pPr>
      <w:r>
        <w:t>4月29日发布的《全国数据资源调查报告（2025年）》给出一个关键数字：2025年，全国公共数据开放量、授权运营量同比增长均超30%。国家数据专家咨询委员会委员张向宏的评价是，这是近年来的一个高点。</w:t>
      </w:r>
    </w:p>
    <w:p>
      <w:pPr>
        <w:widowControl/>
        <w:ind w:firstLine="460"/>
        <w:jc w:val="both"/>
      </w:pPr>
      <w:r>
        <w:t>数字本身值得注意，但更值得注意的是增长背后的结构变化。报告显示，可流通的公共数据中，九成用于支撑企业应用——信用、税务、社保、市场监管、交通、气象等数据，正在被企业用来开发风控大模型、建设城市'绿波带'。这意味着公共数据不再只是政府内部的治理资源，而是开始进入市场化的生产函数。</w:t>
      </w:r>
    </w:p>
    <w:p>
      <w:pPr>
        <w:widowControl/>
        <w:ind w:firstLine="460"/>
        <w:jc w:val="both"/>
      </w:pPr>
      <w:r>
        <w:t>但开放量增长只是第一步。数据从政府手里出来，到企业真正用上，中间隔着治理、定价、安全、流通一系列环节。这正是授权运营和可信数据空间要解决的问题。</w:t>
      </w:r>
    </w:p>
    <w:p>
      <w:pPr>
        <w:pStyle w:val="Heading2"/>
        <w:keepNext/>
        <w:widowControl/>
        <w:spacing w:before="320" w:after="160"/>
      </w:pPr>
      <w:r>
        <w:rPr>
          <w:b/>
        </w:rPr>
        <w:t>授权运营：政府让渡的不是数据，而是开发权</w:t>
      </w:r>
    </w:p>
    <w:p>
      <w:pPr>
        <w:widowControl/>
        <w:ind w:firstLine="460"/>
        <w:jc w:val="both"/>
      </w:pPr>
      <w:r>
        <w:t>公共数据授权运营，简单说，是政府把公共数据的开发运营权授予符合条件的专业机构，由后者进行治理和加工，形成数据产品和服务。国家数据局副局长张望的解释是，这既能解决部分公共数据关联汇聚带来的风险，也能发挥经营主体在人员、资金、技术、市场发现等方面的优势。</w:t>
      </w:r>
    </w:p>
    <w:p>
      <w:pPr>
        <w:widowControl/>
        <w:ind w:firstLine="460"/>
        <w:jc w:val="both"/>
      </w:pPr>
      <w:r>
        <w:t>这句话点出了授权运营的核心逻辑：政府不直接卖数据，而是让渡开发权。运营机构拿到的是经过授权范围内的数据治理和开发权利，而不是数据本身的所有权。浦东新区的管理办法规定得更细：运营机构不得直接或者间接参与授权范围内已交付的公共数据产品再开发。也就是说，运营机构做的是'加工'，不是'倒卖'。</w:t>
      </w:r>
    </w:p>
    <w:p>
      <w:pPr>
        <w:widowControl/>
        <w:ind w:firstLine="460"/>
        <w:jc w:val="both"/>
      </w:pPr>
      <w:r>
        <w:t>这个设计把政府与市场的分工划了出来。政府保留数据持有权和最终监管权，运营机构承担治理和产品化职能，其他经营主体则可以在安全环境下对数据产品进行再开发。三层结构，各管一段。</w:t>
      </w:r>
    </w:p>
    <w:p>
      <w:pPr>
        <w:pStyle w:val="Heading2"/>
        <w:keepNext/>
        <w:widowControl/>
        <w:spacing w:before="320" w:after="160"/>
      </w:pPr>
      <w:r>
        <w:rPr>
          <w:b/>
        </w:rPr>
        <w:t>可信数据空间：让'不敢给'变成'可控地给'</w:t>
      </w:r>
    </w:p>
    <w:p>
      <w:pPr>
        <w:widowControl/>
        <w:ind w:firstLine="460"/>
        <w:jc w:val="both"/>
      </w:pPr>
      <w:r>
        <w:t>授权运营解决了'谁来做'的问题，但没完全解决'怎么给'的问题。公共数据涉及个人隐私、商业秘密甚至国家安全，一旦出问题，责任难以追溯。这是很多政府部门'不敢给'的根本原因。</w:t>
      </w:r>
    </w:p>
    <w:p>
      <w:pPr>
        <w:widowControl/>
        <w:ind w:firstLine="460"/>
        <w:jc w:val="both"/>
      </w:pPr>
      <w:r>
        <w:t>可信数据空间是应对这一难题的技术方案。上海市的授权运营管理办法明确提出，借助区块链、隐私计算、可信数据空间等数字技术，打造全市统一的数据基础设施。实施机构依托这一基础设施设定授权运营域，运营机构在安全可控的开发利用环境里进行数据治理和开发。</w:t>
      </w:r>
    </w:p>
    <w:p>
      <w:pPr>
        <w:widowControl/>
        <w:ind w:firstLine="460"/>
        <w:jc w:val="both"/>
      </w:pPr>
      <w:r>
        <w:t>这套机制的关键在于'数据可用不可见'。通过隐私计算等技术，数据使用方可以计算结果，但接触不到原始数据。区块链则保证全过程可追溯——谁用了数据、用了多少、用在哪里，都有记录。这让政府部门的'不敢给'变成了'可控地给'。</w:t>
      </w:r>
    </w:p>
    <w:p>
      <w:pPr>
        <w:widowControl/>
        <w:ind w:firstLine="460"/>
        <w:jc w:val="both"/>
      </w:pPr>
      <w:r>
        <w:t>深圳龙岗区的实施方案把这一逻辑落得更实。方案明确了数源单位、实施机构、运营机构、开发利用方四类主体的职责，要求依托区授权运营平台开展活动。每个环节都有对应的责任主体，出了问题能找到人。</w:t>
      </w:r>
    </w:p>
    <w:p>
      <w:pPr>
        <w:pStyle w:val="Heading2"/>
        <w:keepNext/>
        <w:widowControl/>
        <w:spacing w:before="320" w:after="160"/>
      </w:pPr>
      <w:r>
        <w:rPr>
          <w:b/>
        </w:rPr>
        <w:t>定价与激励：数据供给的真正堵点</w:t>
      </w:r>
    </w:p>
    <w:p>
      <w:pPr>
        <w:widowControl/>
        <w:ind w:firstLine="460"/>
        <w:jc w:val="both"/>
      </w:pPr>
      <w:r>
        <w:t>授权运营和可信数据空间解决的是技术和管理问题，但数据能不能持续供出来，最终取决于激励。政府部门不是企业，没有天然的动力把自己的数据交出去。</w:t>
      </w:r>
    </w:p>
    <w:p>
      <w:pPr>
        <w:widowControl/>
        <w:ind w:firstLine="460"/>
        <w:jc w:val="both"/>
      </w:pPr>
      <w:r>
        <w:t>2025年1月印发的《关于建立公共数据资源授权运营价格形成机制的通知》，正是冲着这个问题去的。价格机制明确了授权运营的收费逻辑，让供数方看到'给数据'不是白给，运营方也清楚'用数据'要付多少钱。国家公共数据资源登记平台的运行，则从产权、交易、定价层面给出了根本指引，极大地激发了各级政府部门和事业单位的积极性。</w:t>
      </w:r>
    </w:p>
    <w:p>
      <w:pPr>
        <w:widowControl/>
        <w:ind w:firstLine="460"/>
        <w:jc w:val="both"/>
      </w:pPr>
      <w:r>
        <w:t>张向宏提到的这个细节值得注意：登记平台聚集了大量公共数据，对产权、交易、定价有了根本指引。这说明政策正在从'要求开放'转向'激励开放'。但价格机制仍处于探索期，公共数据定价缺乏统一标准，不同地区、不同行业的数据价值差异巨大，一刀切的定价方式难以适应。这是接下来需要持续观察的变量。</w:t>
      </w:r>
    </w:p>
    <w:p>
      <w:pPr>
        <w:pStyle w:val="Heading2"/>
        <w:keepNext/>
        <w:widowControl/>
        <w:spacing w:before="320" w:after="160"/>
      </w:pPr>
      <w:r>
        <w:rPr>
          <w:b/>
        </w:rPr>
        <w:t>落地难点：从政策到实践的三个断层</w:t>
      </w:r>
    </w:p>
    <w:p>
      <w:pPr>
        <w:widowControl/>
        <w:ind w:firstLine="460"/>
        <w:jc w:val="both"/>
      </w:pPr>
      <w:r>
        <w:t>政策框架已经搭起来了，但落地过程中仍有明显的断层。</w:t>
      </w:r>
    </w:p>
    <w:p>
      <w:pPr>
        <w:widowControl/>
        <w:ind w:firstLine="460"/>
        <w:jc w:val="both"/>
      </w:pPr>
      <w:r>
        <w:t>第一个断层在部门之间。公共数据分散在各级党政机关、事业单位和国有企业手中，每个部门都有自己的利益考量。上海的办法是要求各行业主管部门推动本系统本行业公共数据的供给，指导所属事业单位加大供给力度。但'指导'的力度能有多大，取决于上级部门的推动决心。</w:t>
      </w:r>
    </w:p>
    <w:p>
      <w:pPr>
        <w:widowControl/>
        <w:ind w:firstLine="460"/>
        <w:jc w:val="both"/>
      </w:pPr>
      <w:r>
        <w:t>第二个断层在区域之间。上海、深圳等地已经形成了相对完善的授权运营体系，但中西部地区仍在起步阶段。龙岗区的方案依据的是广东省和深圳市的条例，上海的方案则强调对接长三角地区的公共数据。区域之间的数据标准、平台接口、监管规则尚未完全打通，跨区域的数据流通仍面临障碍。</w:t>
      </w:r>
    </w:p>
    <w:p>
      <w:pPr>
        <w:widowControl/>
        <w:ind w:firstLine="460"/>
        <w:jc w:val="both"/>
      </w:pPr>
      <w:r>
        <w:t>第三个断层在技术与制度之间。可信数据空间依赖隐私计算、区块链等技术，但这些技术的部署成本不低，对运营机构的技术能力要求较高。小城市的数源单位可能没有足够的技术力量来支撑这些基础设施。政策要求'安全有序接入'，但接入的技术门槛和成本由谁承担，目前还没有明确的答案。</w:t>
      </w:r>
    </w:p>
    <w:p>
      <w:pPr>
        <w:pStyle w:val="Heading2"/>
        <w:keepNext/>
        <w:widowControl/>
        <w:spacing w:before="320" w:after="160"/>
      </w:pPr>
      <w:r>
        <w:rPr>
          <w:b/>
        </w:rPr>
        <w:t>数据要素落地的真实路径</w:t>
      </w:r>
    </w:p>
    <w:p>
      <w:pPr>
        <w:widowControl/>
        <w:ind w:firstLine="460"/>
        <w:jc w:val="both"/>
      </w:pPr>
      <w:r>
        <w:t>回到开头的问题：数据要素如何落地？从目前的实践看，路径已经比较清晰——授权运营解决'谁来开发'的问题，可信数据空间解决'如何安全流通'的问题，价格机制解决'为什么愿意供数'的问题。三者缺一不可。</w:t>
      </w:r>
    </w:p>
    <w:p>
      <w:pPr>
        <w:widowControl/>
        <w:ind w:firstLine="460"/>
        <w:jc w:val="both"/>
      </w:pPr>
      <w:r>
        <w:t>但这条路径的成熟还需要时间。30%的增长说明方向是对的，但也意味着基数还小。公共数据的总量庞大，真正进入流通环节的仍是少数。九成可流通数据用于支撑企业应用，说明需求端已经热起来了，供给端的节奏还需要跟上。</w:t>
      </w:r>
    </w:p>
    <w:p>
      <w:pPr>
        <w:widowControl/>
        <w:ind w:firstLine="460"/>
        <w:jc w:val="both"/>
      </w:pPr>
      <w:r>
        <w:t>接下来值得关注的，不是政策又出了多少份文件，而是三个具体指标：登记平台上的数据资源规模能否持续增长，跨区域的数据流通能否打通，以及定价机制能否让供需双方都感到公平。这三个指标的变化，比任何政策宣示都更能说明数据要素落地的真实进度。</w:t>
      </w:r>
    </w:p>
    <w:sectPr w:rsidR="00FC693F" w:rsidRPr="0006063C" w:rsidSect="00034616">
      <w:footerReference w:type="default" r:id="rId9"/>
      <w:pgSz w:w="11909" w:h="16834"/>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57B7"/>
        <w:sz w:val="16"/>
      </w:rPr>
      <w:t>— 数据要素治理 · 聚焦数据要素治理与价值释放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SimSun" w:hAnsi="SimSun" w:eastAsia="宋体"/>
      <w:color w:val="1720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17203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172033"/>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17203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黑体"/>
      <w:b/>
      <w:color w:val="1720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