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rPr>
          <w:rFonts w:ascii="SimHei" w:hAnsi="SimHei" w:eastAsia="黑体"/>
          <w:b/>
        </w:rPr>
        <w:t>数据要素治理：从资源管理走向可验证的价值闭环</w:t>
      </w:r>
    </w:p>
    <w:p>
      <w:pPr>
        <w:spacing w:after="80"/>
      </w:pPr>
      <w:r>
        <w:rPr>
          <w:rFonts w:ascii="SimSun" w:hAnsi="SimSun" w:eastAsia="宋体"/>
          <w:b/>
          <w:color w:val="0B57B7"/>
          <w:sz w:val="24"/>
        </w:rPr>
        <w:t>围绕规则、流通与价值回流，重新理解数据要素治理。</w:t>
      </w:r>
    </w:p>
    <w:p>
      <w:pPr>
        <w:spacing w:after="280"/>
        <w:pBdr>
          <w:bottom w:val="single" w:sz="8" w:space="6" w:color="CFE4F2"/>
        </w:pBdr>
      </w:pPr>
      <w:r>
        <w:rPr>
          <w:color w:val="6B7280"/>
          <w:sz w:val="19"/>
        </w:rPr>
        <w:t>数据要素治理 · 2026-08-25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62345" cy="3410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41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80"/>
        <w:jc w:val="center"/>
      </w:pPr>
      <w:r>
        <w:rPr>
          <w:rFonts w:ascii="SimSun" w:hAnsi="SimSun" w:eastAsia="宋体"/>
          <w:color w:val="6B7280"/>
          <w:sz w:val="17"/>
        </w:rPr>
        <w:t>图片来源：数据要素治理产业场景</w:t>
      </w:r>
    </w:p>
    <w:p>
      <w:pPr>
        <w:pStyle w:val="Heading1"/>
        <w:keepNext/>
        <w:widowControl/>
        <w:spacing w:before="320" w:after="160"/>
      </w:pPr>
      <w:r>
        <w:rPr>
          <w:b/>
        </w:rPr>
        <w:t>机制如何运转</w:t>
      </w:r>
    </w:p>
    <w:p>
      <w:pPr>
        <w:widowControl/>
        <w:ind w:firstLine="460"/>
        <w:jc w:val="both"/>
      </w:pPr>
      <w:r>
        <w:t>数据要素治理需要把权责、质量、授权、使用和风险控制连成闭环。这是用于验证正文排版、行距、缩进与两端对齐的样例文本。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62345" cy="3410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41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80"/>
        <w:jc w:val="center"/>
      </w:pPr>
      <w:r>
        <w:rPr>
          <w:rFonts w:ascii="SimSun" w:hAnsi="SimSun" w:eastAsia="宋体"/>
          <w:color w:val="6B7280"/>
          <w:sz w:val="17"/>
        </w:rPr>
        <w:t>图片来源：数据连接与可信流通示意（来源：机构官网）</w:t>
      </w:r>
    </w:p>
    <w:p>
      <w:pPr>
        <w:pStyle w:val="Heading3"/>
        <w:keepNext/>
        <w:widowControl/>
        <w:spacing w:before="320" w:after="160"/>
      </w:pPr>
      <w:r>
        <w:rPr>
          <w:b/>
        </w:rPr>
        <w:t>产业落地怎么看</w:t>
      </w:r>
    </w:p>
    <w:p>
      <w:pPr>
        <w:widowControl/>
        <w:ind w:firstLine="460"/>
        <w:jc w:val="both"/>
      </w:pPr>
      <w:r>
        <w:t>这是一段三级小标题下的正文，用于验证标题层级与正文间距。</w:t>
      </w:r>
    </w:p>
    <w:p>
      <w:pPr>
        <w:spacing w:before="320" w:after="80"/>
      </w:pPr>
      <w:r>
        <w:rPr>
          <w:b/>
          <w:color w:val="6B7280"/>
          <w:sz w:val="22"/>
        </w:rPr>
        <w:t>资料来源</w:t>
      </w:r>
    </w:p>
    <w:p>
      <w:pPr>
        <w:spacing w:after="40" w:line="300" w:lineRule="auto"/>
        <w:ind w:left="216"/>
        <w:jc w:val="left"/>
      </w:pPr>
      <w:hyperlink r:id="rId10">
        <w:r>
          <w:rPr>
            <w:color w:val="60778A"/>
            <w:u w:val="single"/>
          </w:rPr>
          <w:t>[1] 国家数据局《数据产权登记工作指引》</w:t>
        </w:r>
      </w:hyperlink>
      <w:r>
        <w:rPr>
          <w:color w:val="6B7280"/>
          <w:sz w:val="17"/>
        </w:rPr>
        <w:br/>
        <w:t>国家数据局 · 2026-08-06</w:t>
      </w:r>
    </w:p>
    <w:sectPr w:rsidR="00FC693F" w:rsidRPr="0006063C" w:rsidSect="00034616">
      <w:footerReference w:type="default" r:id="rId11"/>
      <w:pgSz w:w="11909" w:h="16834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57B7"/>
        <w:sz w:val="16"/>
      </w:rPr>
      <w:t>— 数据要素治理 · 聚焦数据要素治理与价值释放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60"/>
    </w:pPr>
    <w:rPr>
      <w:rFonts w:ascii="SimSun" w:hAnsi="SimSun" w:eastAsia="宋体"/>
      <w:color w:val="1720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17203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17203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17203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黑体"/>
      <w:b/>
      <w:color w:val="17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gov.cn/1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