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CHAIN RISK DECISION INTELLIGENCE</w:t>
      </w:r>
    </w:p>
    <w:p>
      <w:pPr>
        <w:pStyle w:val="Title"/>
        <w:jc w:val="center"/>
      </w:pPr>
      <w:r>
        <w:t>链网E判</w:t>
      </w:r>
    </w:p>
    <w:p>
      <w:pPr>
        <w:pStyle w:val="Subtitle"/>
        <w:jc w:val="center"/>
      </w:pPr>
      <w:r>
        <w:t>项目架构、查询算法与部署说明</w:t>
      </w:r>
    </w:p>
    <w:p>
      <w:pPr>
        <w:jc w:val="center"/>
      </w:pPr>
      <w:r>
        <w:rPr>
          <w:b/>
          <w:color w:val="84101C"/>
          <w:sz w:val="22"/>
        </w:rPr>
        <w:t>版本 8.4.1  |  构建 20260726.4  |  缓存结构 35</w:t>
      </w:r>
    </w:p>
    <w:p/>
    <w:p>
      <w:pPr>
        <w:jc w:val="center"/>
      </w:pPr>
      <w:r>
        <w:rPr>
          <w:b/>
          <w:sz w:val="30"/>
        </w:rPr>
        <w:t>面向银行对公信贷的关联交易欺诈实时风险雷达</w:t>
      </w:r>
    </w:p>
    <w:p>
      <w:pPr>
        <w:jc w:val="center"/>
      </w:pPr>
      <w:r>
        <w:rPr>
          <w:color w:val="644B4C"/>
          <w:sz w:val="22"/>
        </w:rPr>
        <w:t>Tavily Search / Extract + DeepSeek V4 + Python 确定性计算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本版目标</w:t>
            </w:r>
          </w:p>
        </w:tc>
        <w:tc>
          <w:tcPr>
            <w:tcW w:type="dxa" w:w="7776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基本信息完整性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上市公司结构化档案与F10叙事双通道解析，优先补齐信用代码、法人、资本、地址、成立日期、控制关系。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关系网络覆盖</w:t>
            </w:r>
          </w:p>
        </w:tc>
        <w:tc>
          <w:tcPr>
            <w:tcW w:type="dxa" w:w="777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合并前十大股东、流通股东、主要参控股公司及公开交易、担保、司法关系；结构化关系最多保留48条。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模型稳定性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Flash JSON自动修复重试；常见格式差异后端归一；仅失败通道按需使用Pro兜底。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前端可读性</w:t>
            </w:r>
          </w:p>
        </w:tc>
        <w:tc>
          <w:tcPr>
            <w:tcW w:type="dxa" w:w="777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真实三角风险金字塔、风险—建议等权排版、轻量审计轨道、语义配色多环图谱。</w:t>
            </w:r>
          </w:p>
        </w:tc>
      </w:tr>
    </w:tbl>
    <w:p/>
    <w:p>
      <w:pPr>
        <w:pStyle w:val="Heading1"/>
      </w:pPr>
      <w:r>
        <w:t>1. 系统定位与质量原则</w:t>
      </w:r>
    </w:p>
    <w:p>
      <w:r>
        <w:t>链网E判接收企业名称、6位股票代码或18位统一社会信用代码，完成主体核验、企业档案提取、股权和投资关系识别、关联交易与担保分析、司法合规风险抽取、确定性评分、关系图谱和可追溯决策报告。</w:t>
      </w:r>
    </w:p>
    <w:p>
      <w:pPr>
        <w:pStyle w:val="ListBullet"/>
      </w:pPr>
      <w:r>
        <w:t>主体正确优先：股票代码绑定上市发行人，公告中的子公司、客户、供应商或担保对象不得覆盖核心企业。</w:t>
      </w:r>
    </w:p>
    <w:p>
      <w:pPr>
        <w:pStyle w:val="ListBullet"/>
      </w:pPr>
      <w:r>
        <w:t>结构化证据优先：股票代码绑定的F10档案、股东表和参控股公司表优先于自由文本模型抽取。</w:t>
      </w:r>
    </w:p>
    <w:p>
      <w:pPr>
        <w:pStyle w:val="ListBullet"/>
      </w:pPr>
      <w:r>
        <w:t>完整结果优先：必要的检索不因本地预算上限中断；通过缓存、去重和定向Extract减少重复成本。</w:t>
      </w:r>
    </w:p>
    <w:p>
      <w:pPr>
        <w:pStyle w:val="ListBullet"/>
      </w:pPr>
      <w:r>
        <w:t>证据可追溯：字段、关系和风险事项必须绑定来源；缺失不等于不存在。</w:t>
      </w:r>
    </w:p>
    <w:p>
      <w:pPr>
        <w:pStyle w:val="ListBullet"/>
      </w:pPr>
      <w:r>
        <w:t>确定性计算：风险分、金额、关系数量、SHAP、ROI和图谱均由Python完成。</w:t>
      </w:r>
    </w:p>
    <w:p>
      <w:pPr>
        <w:pStyle w:val="Heading1"/>
      </w:pPr>
      <w:r>
        <w:t>2. 总体技术架构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096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核心模块</w:t>
            </w:r>
          </w:p>
        </w:tc>
        <w:tc>
          <w:tcPr>
            <w:tcW w:type="dxa" w:w="5616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输入与主体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query_utils / stock_resolver / listed_profile_resolver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标准化企业名称、股票代码、信用代码；锁定上市发行人；读取结构化公司档案。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结构化关系</w:t>
            </w:r>
          </w:p>
        </w:tc>
        <w:tc>
          <w:tcPr>
            <w:tcW w:type="dxa" w:w="309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listed_relations_resolver</w:t>
            </w:r>
          </w:p>
        </w:tc>
        <w:tc>
          <w:tcPr>
            <w:tcW w:type="dxa" w:w="561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并行读取前十大股东、流通股东和主要参控股公司，形成确定性关系。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公开检索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search_service / Tavily Search + Extract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七类聚焦查询并行执行；按档案、关系、风险五路精读；按真实缺口补查。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语义抽取</w:t>
            </w:r>
          </w:p>
        </w:tc>
        <w:tc>
          <w:tcPr>
            <w:tcW w:type="dxa" w:w="309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deepseek_client / V4 Flash + 条件式Pro</w:t>
            </w:r>
          </w:p>
        </w:tc>
        <w:tc>
          <w:tcPr>
            <w:tcW w:type="dxa" w:w="561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企业档案、关系、风险三通道；JSON自动修复；失败通道兜底。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证据与计算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evidence_parser / risk_engine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结构化字段保护、冲突校验、关系去重、风险评分、多环多跳图谱。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展示与审计</w:t>
            </w:r>
          </w:p>
        </w:tc>
        <w:tc>
          <w:tcPr>
            <w:tcW w:type="dxa" w:w="309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FastAPI / HTML / CSS / JavaScript</w:t>
            </w:r>
          </w:p>
        </w:tc>
        <w:tc>
          <w:tcPr>
            <w:tcW w:type="dxa" w:w="561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异步进度、报告、图谱、风险建议、SHAP、ROI、证据账簿和导出。</w:t>
            </w:r>
          </w:p>
        </w:tc>
      </w:tr>
    </w:tbl>
    <w:p/>
    <w:p>
      <w:pPr>
        <w:pStyle w:val="Heading1"/>
      </w:pPr>
      <w:r>
        <w:t>3. 完整查询流程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088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488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01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输入标准化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识别企业名称、股票代码或信用代码；兼容600282、SH600282、600282.SH等格式。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02</w:t>
            </w:r>
          </w:p>
        </w:tc>
        <w:tc>
          <w:tcPr>
            <w:tcW w:type="dxa" w:w="2088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主体锁定</w:t>
            </w:r>
          </w:p>
        </w:tc>
        <w:tc>
          <w:tcPr>
            <w:tcW w:type="dxa" w:w="7488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股票代码并行读取证券主数据和F10结构化档案；信用代码执行代码—名称同源核验。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03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结构化档案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直接获得法定全称、信用代码、法人、地址、资本、成立日期、行业、产品及控制关系。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04</w:t>
            </w:r>
          </w:p>
        </w:tc>
        <w:tc>
          <w:tcPr>
            <w:tcW w:type="dxa" w:w="2088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结构化关系</w:t>
            </w:r>
          </w:p>
        </w:tc>
        <w:tc>
          <w:tcPr>
            <w:tcW w:type="dxa" w:w="7488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读取股东表和参控股公司表；同一URL中的不同数据集独立保留，不再相互覆盖。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05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七类并行检索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工商、年报、控制、投资、交易、担保、司法同时检索，减少串行等待和结果偏科。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06</w:t>
            </w:r>
          </w:p>
        </w:tc>
        <w:tc>
          <w:tcPr>
            <w:tcW w:type="dxa" w:w="2088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定向精读与抽取</w:t>
            </w:r>
          </w:p>
        </w:tc>
        <w:tc>
          <w:tcPr>
            <w:tcW w:type="dxa" w:w="7488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Python先解析，Flash三通道结构化；JSON异常自动修复；必要时仅失败通道Pro兜底。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07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确定性输出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合并证据，计算风险、SHAP、ROI和多跳图谱，生成风险与建议一一对应的报告。</w:t>
            </w:r>
          </w:p>
        </w:tc>
      </w:tr>
    </w:tbl>
    <w:p/>
    <w:p>
      <w:pPr>
        <w:pStyle w:val="Heading1"/>
      </w:pPr>
      <w:r>
        <w:t>4. 本版根因修复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旧问题</w:t>
            </w:r>
          </w:p>
        </w:tc>
        <w:tc>
          <w:tcPr>
            <w:tcW w:type="dxa" w:w="3672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4608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8.4.1处理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基本信息明明在网页中却显示未获取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F10信用代码、地址和控制人位于历史沿革叙事，不在简单标签单元格中。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新增可见文本和历史沿革正则解析，补齐叙事中的法定字段。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公司档案和参控股关系只能保留一种</w:t>
            </w:r>
          </w:p>
        </w:tc>
        <w:tc>
          <w:tcPr>
            <w:tcW w:type="dxa" w:w="3672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来源仅按URL去重；同一F10 URL中的公司档案、股东表、参控股表互相覆盖。</w:t>
            </w:r>
          </w:p>
        </w:tc>
        <w:tc>
          <w:tcPr>
            <w:tcW w:type="dxa" w:w="4608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结构化来源按数据集类型和证据ID去重，同URL多数据集全部保留。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图谱只有1至2个关系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关系数量只统计target，股东等入向节点被忽略；模型失败后无结构化关系兜底。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同时统计source和target；引入结构化股东与参控股关系；模型失败仍可生成完整基础图谱。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三个DeepSeek通道同时失败</w:t>
            </w:r>
          </w:p>
        </w:tc>
        <w:tc>
          <w:tcPr>
            <w:tcW w:type="dxa" w:w="3672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JSON空响应、代码块、字段类型和百分数格式导致Pydantic校验失败。</w:t>
            </w:r>
          </w:p>
        </w:tc>
        <w:tc>
          <w:tcPr>
            <w:tcW w:type="dxa" w:w="4608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平衡JSON抽取、字段归一、自动修复重试和失败通道Pro兜底。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模型长句覆盖正确基本字段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自由文本置信度高于结构化档案时错误覆盖。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PROFILE结构化字段被设为保护值，后续自由文本不得覆盖。</w:t>
            </w:r>
          </w:p>
        </w:tc>
      </w:tr>
    </w:tbl>
    <w:p/>
    <w:p>
      <w:pPr>
        <w:pStyle w:val="Heading1"/>
      </w:pPr>
      <w:r>
        <w:t>5. 结果页视觉与交互</w:t>
      </w:r>
    </w:p>
    <w:p>
      <w:pPr>
        <w:pStyle w:val="ListBullet"/>
      </w:pPr>
      <w:r>
        <w:t>风险等级改为真实三角金字塔，由低至高筛选风险事项。</w:t>
      </w:r>
    </w:p>
    <w:p>
      <w:pPr>
        <w:pStyle w:val="ListBullet"/>
      </w:pPr>
      <w:r>
        <w:t>风险与建议等权排版，正文统一字号；风险事实、授信影响和对应建议位于同一决策行。</w:t>
      </w:r>
    </w:p>
    <w:p>
      <w:pPr>
        <w:pStyle w:val="ListBullet"/>
      </w:pPr>
      <w:r>
        <w:t>删除可见的内部证据ID、技术异常名、说明性小句和虚化英文大字。</w:t>
      </w:r>
    </w:p>
    <w:p>
      <w:pPr>
        <w:pStyle w:val="ListBullet"/>
      </w:pPr>
      <w:r>
        <w:t>决策链路改为轻量连接轨道；证据来源改为可展开账簿；减少大卡片堆叠。</w:t>
      </w:r>
    </w:p>
    <w:p>
      <w:pPr>
        <w:pStyle w:val="ListBullet"/>
      </w:pPr>
      <w:r>
        <w:t>关系图使用1200×720视图、多环布局；节点按股权、投资、交易、担保和风险语义配色；高密度图自动缩放普通节点。</w:t>
      </w:r>
    </w:p>
    <w:p>
      <w:pPr>
        <w:pStyle w:val="ListBullet"/>
      </w:pPr>
      <w:r>
        <w:t>报告背景在原深红基础上轻微提亮，保持金融风控感，同时提高文本和图谱对比度。</w:t>
      </w:r>
    </w:p>
    <w:p>
      <w:pPr>
        <w:pStyle w:val="Heading1"/>
      </w:pPr>
      <w:r>
        <w:t>6. API、视频与部署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20"/>
            <w:vAlign w:val="center"/>
            <w:shd w:fill="8A142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位置或命令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Tavily API Key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根目录 .env：TAVILY_API_KEY=你的密钥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DeepSeek API Key</w:t>
            </w:r>
          </w:p>
        </w:tc>
        <w:tc>
          <w:tcPr>
            <w:tcW w:type="dxa" w:w="7920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根目录 .env：DEEPSEEK_API_KEY=你的密钥；备用Key可留空。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首页视频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frontend/assets/video/hero-bg.mp4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Windows启动</w:t>
            </w:r>
          </w:p>
        </w:tc>
        <w:tc>
          <w:tcPr>
            <w:tcW w:type="dxa" w:w="7920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install.bat → check_config.bat → reset_cache.bat → start_web.bat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浏览器地址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http://127.0.0.1:8000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版本确认</w:t>
            </w:r>
          </w:p>
        </w:tc>
        <w:tc>
          <w:tcPr>
            <w:tcW w:type="dxa" w:w="7920"/>
            <w:vAlign w:val="center"/>
            <w:shd w:fill="F8EEEE"/>
          </w:tcPr>
          <w:p>
            <w:r/>
            <w:r>
              <w:rPr>
                <w:rFonts w:ascii="Microsoft YaHei" w:hAnsi="Microsoft YaHei" w:eastAsia="Microsoft YaHei"/>
                <w:b w:val="0"/>
                <w:color w:val="2E2324"/>
                <w:sz w:val="17"/>
              </w:rPr>
              <w:t>GET /api/config，应显示8.4.1与20260726.4。</w:t>
            </w:r>
          </w:p>
        </w:tc>
      </w:tr>
    </w:tbl>
    <w:p/>
    <w:p>
      <w:r>
        <w:rPr>
          <w:b/>
          <w:color w:val="84101C"/>
        </w:rPr>
        <w:t>更新要求：</w:t>
      </w:r>
      <w:r>
        <w:t xml:space="preserve"> 不要覆盖旧目录。解压到新目录，根据新版 .env.template 新建 .env，只复制API Key，运行 reset_cache.bat 后重新启动，并在浏览器执行 Ctrl+F5。</w:t>
      </w:r>
    </w:p>
    <w:p>
      <w:pPr>
        <w:pStyle w:val="Heading1"/>
      </w:pPr>
      <w:r>
        <w:t>7. 验证与能力边界</w:t>
      </w:r>
    </w:p>
    <w:p>
      <w:pPr>
        <w:pStyle w:val="ListBullet"/>
      </w:pPr>
      <w:r>
        <w:t>发布前执行 pytest -q、python -m compileall -q .、node --check frontend/app.js。</w:t>
      </w:r>
    </w:p>
    <w:p>
      <w:pPr>
        <w:pStyle w:val="ListBullet"/>
      </w:pPr>
      <w:r>
        <w:t>公开网络未披露、未收录、需要登录、验证码或付费的数据无法无条件保证获得。</w:t>
      </w:r>
    </w:p>
    <w:p>
      <w:pPr>
        <w:pStyle w:val="ListBullet"/>
      </w:pPr>
      <w:r>
        <w:t>系统把缺失字段列为信息边界，不把“未检索到”解释为“风险不存在”。</w:t>
      </w:r>
    </w:p>
    <w:p>
      <w:pPr>
        <w:pStyle w:val="ListBullet"/>
      </w:pPr>
      <w:r>
        <w:t>公开信息报告不能替代银行征信、企业授权材料、审计原件、内部流水和人工审批。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17072"/>
        <w:sz w:val="16"/>
      </w:rPr>
      <w:t>链网E判 8.4.1  |  项目架构与部署说明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410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719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84101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70525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Arial" w:hAnsi="Arial"/>
      <w:b/>
      <w:color w:val="BE464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链网E判 8.4.1 项目架构与部署说明</dc:title>
  <dc:subject>数据完整、关系覆盖、模型稳定与视觉重构</dc:subject>
  <dc:creator>链网E判项目组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