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EACC1">
      <w:pPr>
        <w:pStyle w:val="34"/>
        <w:rPr>
          <w:color w:val="auto"/>
        </w:rPr>
      </w:pPr>
      <w:r>
        <w:rPr>
          <w:color w:val="auto"/>
        </w:rPr>
        <w:pict>
          <v:shape id="_x0000_s1026" o:spid="_x0000_s1026" o:spt="202" type="#_x0000_t202" style="position:absolute;left:0pt;margin-left:231.7pt;margin-top:-9.3pt;height:34.85pt;width:191.3pt;z-index:251659264;mso-width-relative:page;mso-height-relative:page;" filled="f" coordsize="21600,21600" o:gfxdata="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Z3tlbbAAAACgEA&#10;AA8AAAAAAAAAAQAgAAAAIgAAAGRycy9kb3ducmV2LnhtbFBLAQIUABQAAAAIAIdO4kBwp9LmUAIA&#10;AI4EAAAOAAAAAAAAAAEAIAAAACoBAABkcnMvZTJvRG9jLnhtbFBLBQYAAAAABgAGAFkBAADsBQAA&#10;AAA=&#10;">
            <v:path/>
            <v:fill on="f" focussize="0,0"/>
            <v:stroke weight="0.5pt" joinstyle="round"/>
            <v:imagedata o:title=""/>
            <o:lock v:ext="edit"/>
            <v:textbox>
              <w:txbxContent>
                <w:p w14:paraId="742C8643">
                  <w:pPr>
                    <w:ind w:firstLine="0" w:firstLineChars="0"/>
                    <w:jc w:val="center"/>
                    <w:rPr>
                      <w:rFonts w:ascii="黑体" w:hAnsi="黑体" w:eastAsia="黑体" w:cs="黑体"/>
                    </w:rPr>
                  </w:pPr>
                  <w:r>
                    <w:rPr>
                      <w:rFonts w:hint="eastAsia" w:ascii="黑体" w:hAnsi="黑体" w:eastAsia="黑体" w:cs="黑体"/>
                    </w:rPr>
                    <w:t>附录A（资料性附录）</w:t>
                  </w:r>
                </w:p>
              </w:txbxContent>
            </v:textbox>
          </v:shape>
        </w:pict>
      </w:r>
    </w:p>
    <w:p w14:paraId="34E7DCCC">
      <w:pPr>
        <w:pStyle w:val="34"/>
        <w:rPr>
          <w:color w:val="auto"/>
        </w:rPr>
      </w:pPr>
    </w:p>
    <w:p w14:paraId="47E15E80">
      <w:pPr>
        <w:pStyle w:val="34"/>
        <w:rPr>
          <w:rFonts w:eastAsia="方正小标宋简体"/>
          <w:color w:val="auto"/>
        </w:rPr>
      </w:pPr>
    </w:p>
    <w:p w14:paraId="1C3F217C">
      <w:pPr>
        <w:pStyle w:val="34"/>
        <w:rPr>
          <w:rFonts w:eastAsia="方正小标宋简体"/>
          <w:color w:val="auto"/>
        </w:rPr>
      </w:pPr>
    </w:p>
    <w:p w14:paraId="575F00BE">
      <w:pPr>
        <w:pStyle w:val="34"/>
        <w:jc w:val="center"/>
        <w:rPr>
          <w:rFonts w:hint="eastAsia" w:ascii="方正小标宋简体" w:hAnsi="方正小标宋简体" w:eastAsia="方正小标宋简体" w:cs="方正小标宋简体"/>
          <w:color w:val="auto"/>
          <w:lang w:eastAsia="zh-CN"/>
        </w:rPr>
      </w:pPr>
      <w:r>
        <w:rPr>
          <w:rFonts w:hint="eastAsia" w:ascii="方正小标宋简体" w:hAnsi="方正小标宋简体" w:eastAsia="方正小标宋简体" w:cs="方正小标宋简体"/>
          <w:color w:val="auto"/>
          <w:lang w:eastAsia="zh-CN"/>
        </w:rPr>
        <w:t>西安新兴紫楹台酒店有限公司</w:t>
      </w:r>
    </w:p>
    <w:p w14:paraId="48E4AB1B">
      <w:pPr>
        <w:pStyle w:val="34"/>
        <w:jc w:val="center"/>
        <w:rPr>
          <w:rFonts w:ascii="方正小标宋简体" w:hAnsi="方正小标宋简体" w:eastAsia="方正小标宋简体" w:cs="方正小标宋简体"/>
          <w:color w:val="auto"/>
        </w:rPr>
      </w:pPr>
      <w:r>
        <w:rPr>
          <w:rFonts w:hint="eastAsia" w:ascii="方正小标宋简体" w:hAnsi="方正小标宋简体" w:eastAsia="方正小标宋简体" w:cs="方正小标宋简体"/>
          <w:color w:val="auto"/>
          <w:lang w:val="en-US" w:eastAsia="zh-CN"/>
        </w:rPr>
        <w:t>生产安全事故</w:t>
      </w:r>
      <w:r>
        <w:rPr>
          <w:rFonts w:hint="eastAsia" w:ascii="方正小标宋简体" w:hAnsi="方正小标宋简体" w:eastAsia="方正小标宋简体" w:cs="方正小标宋简体"/>
          <w:color w:val="auto"/>
        </w:rPr>
        <w:t>风险评估报告</w:t>
      </w:r>
    </w:p>
    <w:p w14:paraId="22EBFE1D">
      <w:pPr>
        <w:ind w:firstLine="0" w:firstLineChars="0"/>
        <w:jc w:val="center"/>
        <w:rPr>
          <w:color w:val="auto"/>
          <w:highlight w:val="yellow"/>
        </w:rPr>
      </w:pPr>
    </w:p>
    <w:p w14:paraId="05093929">
      <w:pPr>
        <w:ind w:firstLine="0" w:firstLineChars="0"/>
        <w:jc w:val="center"/>
        <w:rPr>
          <w:color w:val="auto"/>
        </w:rPr>
      </w:pPr>
    </w:p>
    <w:p w14:paraId="79656E67">
      <w:pPr>
        <w:ind w:firstLine="0" w:firstLineChars="0"/>
        <w:jc w:val="center"/>
        <w:rPr>
          <w:color w:val="auto"/>
        </w:rPr>
      </w:pPr>
    </w:p>
    <w:p w14:paraId="628DF0A6">
      <w:pPr>
        <w:pStyle w:val="19"/>
        <w:jc w:val="center"/>
        <w:rPr>
          <w:color w:val="auto"/>
        </w:rPr>
      </w:pPr>
    </w:p>
    <w:p w14:paraId="70B0D6AA">
      <w:pPr>
        <w:ind w:firstLine="0" w:firstLineChars="0"/>
        <w:jc w:val="center"/>
        <w:rPr>
          <w:color w:val="auto"/>
        </w:rPr>
      </w:pPr>
    </w:p>
    <w:p w14:paraId="49A22F65">
      <w:pPr>
        <w:ind w:firstLine="0" w:firstLineChars="0"/>
        <w:jc w:val="center"/>
        <w:rPr>
          <w:color w:val="auto"/>
        </w:rPr>
      </w:pPr>
    </w:p>
    <w:p w14:paraId="1D76AE0F">
      <w:pPr>
        <w:ind w:firstLine="0" w:firstLineChars="0"/>
        <w:jc w:val="center"/>
        <w:rPr>
          <w:color w:val="auto"/>
        </w:rPr>
      </w:pPr>
    </w:p>
    <w:p w14:paraId="7E626611">
      <w:pPr>
        <w:pStyle w:val="35"/>
        <w:rPr>
          <w:rFonts w:ascii="黑体" w:hAnsi="黑体" w:eastAsia="黑体" w:cs="黑体"/>
          <w:color w:val="auto"/>
        </w:rPr>
      </w:pPr>
    </w:p>
    <w:p w14:paraId="10AB700A">
      <w:pPr>
        <w:pStyle w:val="35"/>
        <w:rPr>
          <w:rFonts w:ascii="黑体" w:hAnsi="黑体" w:eastAsia="黑体" w:cs="黑体"/>
          <w:color w:val="auto"/>
        </w:rPr>
      </w:pPr>
    </w:p>
    <w:p w14:paraId="4F749D6A">
      <w:pPr>
        <w:pStyle w:val="35"/>
        <w:rPr>
          <w:rFonts w:ascii="黑体" w:hAnsi="黑体" w:eastAsia="黑体" w:cs="黑体"/>
          <w:color w:val="auto"/>
        </w:rPr>
      </w:pPr>
    </w:p>
    <w:p w14:paraId="7415CE6D">
      <w:pPr>
        <w:ind w:firstLine="0" w:firstLineChars="0"/>
        <w:jc w:val="center"/>
        <w:rPr>
          <w:rFonts w:ascii="黑体" w:hAnsi="黑体" w:eastAsia="黑体" w:cs="黑体"/>
          <w:color w:val="auto"/>
          <w:sz w:val="36"/>
        </w:rPr>
      </w:pPr>
    </w:p>
    <w:p w14:paraId="245363F2">
      <w:pPr>
        <w:bidi w:val="0"/>
        <w:ind w:left="0" w:leftChars="0" w:firstLine="0" w:firstLineChars="0"/>
        <w:jc w:val="center"/>
        <w:rPr>
          <w:color w:val="auto"/>
        </w:rPr>
      </w:pPr>
    </w:p>
    <w:p w14:paraId="2C7A5AC1">
      <w:pPr>
        <w:bidi w:val="0"/>
        <w:ind w:left="0" w:leftChars="0" w:firstLine="0" w:firstLineChars="0"/>
        <w:jc w:val="center"/>
        <w:rPr>
          <w:color w:val="auto"/>
        </w:rPr>
      </w:pPr>
    </w:p>
    <w:p w14:paraId="1F1CC963">
      <w:pPr>
        <w:pStyle w:val="35"/>
        <w:rPr>
          <w:rFonts w:hint="eastAsia" w:ascii="黑体" w:hAnsi="黑体" w:eastAsia="黑体" w:cs="黑体"/>
          <w:color w:val="auto"/>
          <w:lang w:eastAsia="zh-CN"/>
        </w:rPr>
      </w:pPr>
      <w:r>
        <w:rPr>
          <w:rFonts w:hint="eastAsia" w:ascii="黑体" w:hAnsi="黑体" w:eastAsia="黑体" w:cs="黑体"/>
          <w:color w:val="auto"/>
          <w:lang w:eastAsia="zh-CN"/>
        </w:rPr>
        <w:t>西安新兴紫楹台酒店有限公司</w:t>
      </w:r>
    </w:p>
    <w:p w14:paraId="45F814C9">
      <w:pPr>
        <w:pStyle w:val="35"/>
        <w:rPr>
          <w:rFonts w:hint="eastAsia" w:ascii="黑体" w:hAnsi="黑体" w:eastAsia="黑体" w:cs="黑体"/>
          <w:color w:val="auto"/>
          <w:lang w:eastAsia="zh-CN"/>
        </w:rPr>
      </w:pPr>
      <w:r>
        <w:rPr>
          <w:rFonts w:hint="eastAsia" w:ascii="黑体" w:hAnsi="黑体" w:eastAsia="黑体" w:cs="黑体"/>
          <w:color w:val="auto"/>
          <w:lang w:eastAsia="zh-CN"/>
        </w:rPr>
        <w:t>二〇二四年四月</w:t>
      </w:r>
    </w:p>
    <w:p w14:paraId="28F51434">
      <w:pPr>
        <w:ind w:firstLine="0" w:firstLineChars="0"/>
        <w:jc w:val="center"/>
        <w:rPr>
          <w:rFonts w:ascii="黑体" w:hAnsi="黑体" w:eastAsia="黑体" w:cs="黑体"/>
          <w:color w:val="auto"/>
          <w:sz w:val="36"/>
          <w:szCs w:val="36"/>
        </w:rPr>
        <w:sectPr>
          <w:headerReference r:id="rId7" w:type="first"/>
          <w:footerReference r:id="rId9" w:type="first"/>
          <w:headerReference r:id="rId5" w:type="default"/>
          <w:headerReference r:id="rId6" w:type="even"/>
          <w:footerReference r:id="rId8" w:type="even"/>
          <w:pgSz w:w="11906" w:h="16838"/>
          <w:pgMar w:top="2098" w:right="1474" w:bottom="1984" w:left="1587" w:header="1134" w:footer="1020" w:gutter="0"/>
          <w:cols w:space="0" w:num="1"/>
          <w:docGrid w:type="linesAndChars" w:linePitch="589" w:charSpace="1554"/>
        </w:sectPr>
      </w:pPr>
    </w:p>
    <w:sdt>
      <w:sdtPr>
        <w:rPr>
          <w:rFonts w:hint="eastAsia" w:ascii="黑体" w:hAnsi="黑体" w:eastAsia="黑体" w:cs="黑体"/>
          <w:color w:val="auto"/>
          <w:sz w:val="36"/>
          <w:szCs w:val="36"/>
        </w:rPr>
        <w:id w:val="147456549"/>
        <w:docPartObj>
          <w:docPartGallery w:val="Table of Contents"/>
          <w:docPartUnique/>
        </w:docPartObj>
      </w:sdtPr>
      <w:sdtEndPr>
        <w:rPr>
          <w:rFonts w:hint="eastAsia" w:ascii="黑体" w:hAnsi="黑体" w:eastAsia="黑体" w:cs="黑体"/>
          <w:b/>
          <w:color w:val="auto"/>
          <w:sz w:val="36"/>
          <w:szCs w:val="36"/>
          <w:highlight w:val="yellow"/>
        </w:rPr>
      </w:sdtEndPr>
      <w:sdtContent>
        <w:p w14:paraId="657A1B23">
          <w:pPr>
            <w:ind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目</w:t>
          </w:r>
          <w:r>
            <w:rPr>
              <w:rFonts w:hint="eastAsia" w:ascii="黑体" w:hAnsi="黑体" w:eastAsia="黑体" w:cs="黑体"/>
              <w:color w:val="auto"/>
              <w:sz w:val="36"/>
              <w:szCs w:val="36"/>
              <w:lang w:val="en-US" w:eastAsia="zh-CN"/>
            </w:rPr>
            <w:t xml:space="preserve">   </w:t>
          </w:r>
          <w:r>
            <w:rPr>
              <w:rFonts w:hint="eastAsia" w:ascii="黑体" w:hAnsi="黑体" w:eastAsia="黑体" w:cs="黑体"/>
              <w:color w:val="auto"/>
              <w:sz w:val="36"/>
              <w:szCs w:val="36"/>
            </w:rPr>
            <w:t>录</w:t>
          </w:r>
        </w:p>
        <w:p w14:paraId="15BA0551">
          <w:pPr>
            <w:pStyle w:val="2"/>
            <w:keepNext w:val="0"/>
            <w:keepLines w:val="0"/>
            <w:pageBreakBefore w:val="0"/>
            <w:widowControl w:val="0"/>
            <w:kinsoku/>
            <w:wordWrap/>
            <w:overflowPunct/>
            <w:topLinePunct w:val="0"/>
            <w:autoSpaceDE/>
            <w:autoSpaceDN/>
            <w:bidi w:val="0"/>
            <w:adjustRightInd/>
            <w:snapToGrid/>
            <w:spacing w:line="560" w:lineRule="exact"/>
            <w:textAlignment w:val="auto"/>
          </w:pPr>
        </w:p>
        <w:p w14:paraId="7E081CB4">
          <w:pPr>
            <w:pStyle w:val="21"/>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0" w:firstLineChars="0"/>
            <w:textAlignment w:val="auto"/>
          </w:pPr>
          <w:r>
            <w:rPr>
              <w:color w:val="auto"/>
              <w:highlight w:val="yellow"/>
            </w:rPr>
            <w:fldChar w:fldCharType="begin"/>
          </w:r>
          <w:r>
            <w:rPr>
              <w:color w:val="auto"/>
              <w:highlight w:val="yellow"/>
            </w:rPr>
            <w:instrText xml:space="preserve">TOC \o "1-2" \h \u </w:instrText>
          </w:r>
          <w:r>
            <w:rPr>
              <w:color w:val="auto"/>
              <w:highlight w:val="yellow"/>
            </w:rPr>
            <w:fldChar w:fldCharType="separate"/>
          </w:r>
          <w:r>
            <w:rPr>
              <w:color w:val="auto"/>
              <w:highlight w:val="yellow"/>
            </w:rPr>
            <w:fldChar w:fldCharType="begin"/>
          </w:r>
          <w:r>
            <w:rPr>
              <w:highlight w:val="yellow"/>
            </w:rPr>
            <w:instrText xml:space="preserve"> HYPERLINK \l _Toc21133 </w:instrText>
          </w:r>
          <w:r>
            <w:rPr>
              <w:highlight w:val="yellow"/>
            </w:rPr>
            <w:fldChar w:fldCharType="separate"/>
          </w:r>
          <w:r>
            <w:rPr>
              <w:rFonts w:hint="default" w:ascii="黑体" w:hAnsi="黑体" w:eastAsia="宋体" w:cs="宋体"/>
            </w:rPr>
            <w:t xml:space="preserve">1 </w:t>
          </w:r>
          <w:r>
            <w:rPr>
              <w:rFonts w:hint="eastAsia"/>
            </w:rPr>
            <w:t>危险有害因素辨识</w:t>
          </w:r>
          <w:r>
            <w:rPr>
              <w:rFonts w:hint="eastAsia"/>
              <w:lang w:val="en-US" w:eastAsia="zh-CN"/>
            </w:rPr>
            <w:t>分析</w:t>
          </w:r>
          <w:r>
            <w:tab/>
          </w:r>
          <w:r>
            <w:fldChar w:fldCharType="begin"/>
          </w:r>
          <w:r>
            <w:instrText xml:space="preserve"> PAGEREF _Toc21133 \h </w:instrText>
          </w:r>
          <w:r>
            <w:fldChar w:fldCharType="separate"/>
          </w:r>
          <w:r>
            <w:t>1</w:t>
          </w:r>
          <w:r>
            <w:fldChar w:fldCharType="end"/>
          </w:r>
          <w:r>
            <w:rPr>
              <w:color w:val="auto"/>
              <w:highlight w:val="yellow"/>
            </w:rPr>
            <w:fldChar w:fldCharType="end"/>
          </w:r>
        </w:p>
        <w:p w14:paraId="3F9D7C1A">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_Toc25158 </w:instrText>
          </w:r>
          <w:r>
            <w:rPr>
              <w:highlight w:val="yellow"/>
            </w:rPr>
            <w:fldChar w:fldCharType="separate"/>
          </w:r>
          <w:r>
            <w:rPr>
              <w:rFonts w:hint="default" w:ascii="Times New Roman" w:hAnsi="Times New Roman" w:eastAsia="宋体" w:cs="宋体"/>
              <w:szCs w:val="32"/>
            </w:rPr>
            <w:t xml:space="preserve">1.1 </w:t>
          </w:r>
          <w:r>
            <w:rPr>
              <w:rFonts w:hint="eastAsia" w:cs="Times New Roman"/>
              <w:highlight w:val="none"/>
              <w:lang w:eastAsia="zh-CN"/>
            </w:rPr>
            <w:t>危险化学品</w:t>
          </w:r>
          <w:r>
            <w:rPr>
              <w:rFonts w:hint="default" w:ascii="Times New Roman" w:hAnsi="Times New Roman" w:cs="Times New Roman"/>
              <w:highlight w:val="none"/>
              <w:lang w:val="en-US" w:eastAsia="zh-CN"/>
            </w:rPr>
            <w:t>有害因素辨识</w:t>
          </w:r>
          <w:r>
            <w:tab/>
          </w:r>
          <w:r>
            <w:fldChar w:fldCharType="begin"/>
          </w:r>
          <w:r>
            <w:instrText xml:space="preserve"> PAGEREF _Toc25158 \h </w:instrText>
          </w:r>
          <w:r>
            <w:fldChar w:fldCharType="separate"/>
          </w:r>
          <w:r>
            <w:t>1</w:t>
          </w:r>
          <w:r>
            <w:fldChar w:fldCharType="end"/>
          </w:r>
          <w:r>
            <w:rPr>
              <w:color w:val="auto"/>
              <w:highlight w:val="yellow"/>
            </w:rPr>
            <w:fldChar w:fldCharType="end"/>
          </w:r>
        </w:p>
        <w:p w14:paraId="366AAC43">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_Toc4672 </w:instrText>
          </w:r>
          <w:r>
            <w:rPr>
              <w:highlight w:val="yellow"/>
            </w:rPr>
            <w:fldChar w:fldCharType="separate"/>
          </w:r>
          <w:r>
            <w:rPr>
              <w:rFonts w:hint="default" w:ascii="Times New Roman" w:hAnsi="Times New Roman" w:eastAsia="宋体" w:cs="宋体"/>
              <w:szCs w:val="32"/>
            </w:rPr>
            <w:t xml:space="preserve">1.2 </w:t>
          </w:r>
          <w:r>
            <w:rPr>
              <w:rFonts w:hint="eastAsia" w:cs="Times New Roman"/>
              <w:highlight w:val="none"/>
              <w:lang w:val="en-US" w:eastAsia="zh-CN"/>
            </w:rPr>
            <w:t>总平面布置及建（构）筑物的危险有害因素分析</w:t>
          </w:r>
          <w:r>
            <w:tab/>
          </w:r>
          <w:r>
            <w:fldChar w:fldCharType="begin"/>
          </w:r>
          <w:r>
            <w:instrText xml:space="preserve"> PAGEREF _Toc4672 \h </w:instrText>
          </w:r>
          <w:r>
            <w:fldChar w:fldCharType="separate"/>
          </w:r>
          <w:r>
            <w:t>7</w:t>
          </w:r>
          <w:r>
            <w:fldChar w:fldCharType="end"/>
          </w:r>
          <w:r>
            <w:rPr>
              <w:color w:val="auto"/>
              <w:highlight w:val="yellow"/>
            </w:rPr>
            <w:fldChar w:fldCharType="end"/>
          </w:r>
        </w:p>
        <w:p w14:paraId="0B426A95">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_Toc28623 </w:instrText>
          </w:r>
          <w:r>
            <w:rPr>
              <w:highlight w:val="yellow"/>
            </w:rPr>
            <w:fldChar w:fldCharType="separate"/>
          </w:r>
          <w:r>
            <w:rPr>
              <w:rFonts w:hint="default" w:ascii="Times New Roman" w:hAnsi="Times New Roman" w:eastAsia="宋体" w:cs="宋体"/>
              <w:szCs w:val="32"/>
            </w:rPr>
            <w:t xml:space="preserve">1.3 </w:t>
          </w:r>
          <w:r>
            <w:rPr>
              <w:rFonts w:hint="eastAsia"/>
            </w:rPr>
            <w:t>配电设施危险有害因素辨识分析</w:t>
          </w:r>
          <w:r>
            <w:tab/>
          </w:r>
          <w:r>
            <w:fldChar w:fldCharType="begin"/>
          </w:r>
          <w:r>
            <w:instrText xml:space="preserve"> PAGEREF _Toc28623 \h </w:instrText>
          </w:r>
          <w:r>
            <w:fldChar w:fldCharType="separate"/>
          </w:r>
          <w:r>
            <w:t>7</w:t>
          </w:r>
          <w:r>
            <w:fldChar w:fldCharType="end"/>
          </w:r>
          <w:r>
            <w:rPr>
              <w:color w:val="auto"/>
              <w:highlight w:val="yellow"/>
            </w:rPr>
            <w:fldChar w:fldCharType="end"/>
          </w:r>
        </w:p>
        <w:p w14:paraId="415D3369">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_Toc11736 </w:instrText>
          </w:r>
          <w:r>
            <w:rPr>
              <w:highlight w:val="yellow"/>
            </w:rPr>
            <w:fldChar w:fldCharType="separate"/>
          </w:r>
          <w:r>
            <w:rPr>
              <w:rFonts w:hint="default" w:ascii="Times New Roman" w:hAnsi="Times New Roman" w:eastAsia="宋体" w:cs="宋体"/>
              <w:szCs w:val="32"/>
            </w:rPr>
            <w:t xml:space="preserve">1.4 </w:t>
          </w:r>
          <w:r>
            <w:rPr>
              <w:rFonts w:hint="eastAsia"/>
            </w:rPr>
            <w:t>消防设施危险有害因素分析</w:t>
          </w:r>
          <w:r>
            <w:tab/>
          </w:r>
          <w:r>
            <w:fldChar w:fldCharType="begin"/>
          </w:r>
          <w:r>
            <w:instrText xml:space="preserve"> PAGEREF _Toc11736 \h </w:instrText>
          </w:r>
          <w:r>
            <w:fldChar w:fldCharType="separate"/>
          </w:r>
          <w:r>
            <w:t>8</w:t>
          </w:r>
          <w:r>
            <w:fldChar w:fldCharType="end"/>
          </w:r>
          <w:r>
            <w:rPr>
              <w:color w:val="auto"/>
              <w:highlight w:val="yellow"/>
            </w:rPr>
            <w:fldChar w:fldCharType="end"/>
          </w:r>
        </w:p>
        <w:p w14:paraId="0B9AA862">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_Toc21005 </w:instrText>
          </w:r>
          <w:r>
            <w:rPr>
              <w:highlight w:val="yellow"/>
            </w:rPr>
            <w:fldChar w:fldCharType="separate"/>
          </w:r>
          <w:r>
            <w:rPr>
              <w:rFonts w:hint="default" w:ascii="Times New Roman" w:hAnsi="Times New Roman" w:eastAsia="宋体" w:cs="宋体"/>
              <w:szCs w:val="32"/>
            </w:rPr>
            <w:t xml:space="preserve">1.5 </w:t>
          </w:r>
          <w:r>
            <w:rPr>
              <w:rFonts w:hint="eastAsia"/>
            </w:rPr>
            <w:t>检维修施工过程危险有害因素分析</w:t>
          </w:r>
          <w:r>
            <w:tab/>
          </w:r>
          <w:r>
            <w:fldChar w:fldCharType="begin"/>
          </w:r>
          <w:r>
            <w:instrText xml:space="preserve"> PAGEREF _Toc21005 \h </w:instrText>
          </w:r>
          <w:r>
            <w:fldChar w:fldCharType="separate"/>
          </w:r>
          <w:r>
            <w:t>9</w:t>
          </w:r>
          <w:r>
            <w:fldChar w:fldCharType="end"/>
          </w:r>
          <w:r>
            <w:rPr>
              <w:color w:val="auto"/>
              <w:highlight w:val="yellow"/>
            </w:rPr>
            <w:fldChar w:fldCharType="end"/>
          </w:r>
        </w:p>
        <w:p w14:paraId="04B6F261">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_Toc25395 </w:instrText>
          </w:r>
          <w:r>
            <w:rPr>
              <w:highlight w:val="yellow"/>
            </w:rPr>
            <w:fldChar w:fldCharType="separate"/>
          </w:r>
          <w:r>
            <w:rPr>
              <w:rFonts w:hint="default" w:ascii="Times New Roman" w:hAnsi="Times New Roman" w:eastAsia="宋体" w:cs="宋体"/>
              <w:szCs w:val="32"/>
            </w:rPr>
            <w:t xml:space="preserve">1.6 </w:t>
          </w:r>
          <w:r>
            <w:rPr>
              <w:rFonts w:hint="eastAsia"/>
            </w:rPr>
            <w:t>设备、装置危险有害因素分析</w:t>
          </w:r>
          <w:r>
            <w:tab/>
          </w:r>
          <w:r>
            <w:fldChar w:fldCharType="begin"/>
          </w:r>
          <w:r>
            <w:instrText xml:space="preserve"> PAGEREF _Toc25395 \h </w:instrText>
          </w:r>
          <w:r>
            <w:fldChar w:fldCharType="separate"/>
          </w:r>
          <w:r>
            <w:t>10</w:t>
          </w:r>
          <w:r>
            <w:fldChar w:fldCharType="end"/>
          </w:r>
          <w:r>
            <w:rPr>
              <w:color w:val="auto"/>
              <w:highlight w:val="yellow"/>
            </w:rPr>
            <w:fldChar w:fldCharType="end"/>
          </w:r>
        </w:p>
        <w:p w14:paraId="5B5D6AB4">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_Toc11362 </w:instrText>
          </w:r>
          <w:r>
            <w:rPr>
              <w:highlight w:val="yellow"/>
            </w:rPr>
            <w:fldChar w:fldCharType="separate"/>
          </w:r>
          <w:r>
            <w:rPr>
              <w:rFonts w:hint="default" w:ascii="Times New Roman" w:hAnsi="Times New Roman" w:eastAsia="宋体" w:cs="宋体"/>
              <w:szCs w:val="32"/>
              <w:lang w:val="en-US" w:eastAsia="zh-CN"/>
            </w:rPr>
            <w:t xml:space="preserve">1.7 </w:t>
          </w:r>
          <w:r>
            <w:rPr>
              <w:rFonts w:hint="eastAsia"/>
              <w:lang w:val="en-US" w:eastAsia="zh-CN"/>
            </w:rPr>
            <w:t>经营过程中</w:t>
          </w:r>
          <w:r>
            <w:rPr>
              <w:rFonts w:hint="default"/>
              <w:lang w:val="en-US" w:eastAsia="zh-CN"/>
            </w:rPr>
            <w:t>危险有害因素辨识分析</w:t>
          </w:r>
          <w:r>
            <w:tab/>
          </w:r>
          <w:r>
            <w:fldChar w:fldCharType="begin"/>
          </w:r>
          <w:r>
            <w:instrText xml:space="preserve"> PAGEREF _Toc11362 \h </w:instrText>
          </w:r>
          <w:r>
            <w:fldChar w:fldCharType="separate"/>
          </w:r>
          <w:r>
            <w:t>14</w:t>
          </w:r>
          <w:r>
            <w:fldChar w:fldCharType="end"/>
          </w:r>
          <w:r>
            <w:rPr>
              <w:color w:val="auto"/>
              <w:highlight w:val="yellow"/>
            </w:rPr>
            <w:fldChar w:fldCharType="end"/>
          </w:r>
        </w:p>
        <w:p w14:paraId="50CA6F6E">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_Toc14624 </w:instrText>
          </w:r>
          <w:r>
            <w:rPr>
              <w:highlight w:val="yellow"/>
            </w:rPr>
            <w:fldChar w:fldCharType="separate"/>
          </w:r>
          <w:r>
            <w:rPr>
              <w:rFonts w:hint="default" w:ascii="Times New Roman" w:hAnsi="Times New Roman" w:eastAsia="宋体" w:cs="宋体"/>
              <w:szCs w:val="32"/>
            </w:rPr>
            <w:t xml:space="preserve">1.8 </w:t>
          </w:r>
          <w:r>
            <w:rPr>
              <w:rFonts w:hint="eastAsia"/>
            </w:rPr>
            <w:t>安全管理危险有害因素辨识分析</w:t>
          </w:r>
          <w:r>
            <w:tab/>
          </w:r>
          <w:r>
            <w:fldChar w:fldCharType="begin"/>
          </w:r>
          <w:r>
            <w:instrText xml:space="preserve"> PAGEREF _Toc14624 \h </w:instrText>
          </w:r>
          <w:r>
            <w:fldChar w:fldCharType="separate"/>
          </w:r>
          <w:r>
            <w:t>20</w:t>
          </w:r>
          <w:r>
            <w:fldChar w:fldCharType="end"/>
          </w:r>
          <w:r>
            <w:rPr>
              <w:color w:val="auto"/>
              <w:highlight w:val="yellow"/>
            </w:rPr>
            <w:fldChar w:fldCharType="end"/>
          </w:r>
        </w:p>
        <w:p w14:paraId="422C2876">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_Toc32631 </w:instrText>
          </w:r>
          <w:r>
            <w:rPr>
              <w:highlight w:val="yellow"/>
            </w:rPr>
            <w:fldChar w:fldCharType="separate"/>
          </w:r>
          <w:r>
            <w:rPr>
              <w:rFonts w:hint="default" w:ascii="Times New Roman" w:hAnsi="Times New Roman" w:eastAsia="宋体" w:cs="宋体"/>
              <w:szCs w:val="32"/>
            </w:rPr>
            <w:t xml:space="preserve">1.9 </w:t>
          </w:r>
          <w:r>
            <w:rPr>
              <w:rFonts w:hint="default"/>
              <w:lang w:val="en-US" w:eastAsia="zh-CN"/>
            </w:rPr>
            <w:t>危险有害因素辨识分析结果汇总</w:t>
          </w:r>
          <w:r>
            <w:tab/>
          </w:r>
          <w:r>
            <w:fldChar w:fldCharType="begin"/>
          </w:r>
          <w:r>
            <w:instrText xml:space="preserve"> PAGEREF _Toc32631 \h </w:instrText>
          </w:r>
          <w:r>
            <w:fldChar w:fldCharType="separate"/>
          </w:r>
          <w:r>
            <w:t>21</w:t>
          </w:r>
          <w:r>
            <w:fldChar w:fldCharType="end"/>
          </w:r>
          <w:r>
            <w:rPr>
              <w:color w:val="auto"/>
              <w:highlight w:val="yellow"/>
            </w:rPr>
            <w:fldChar w:fldCharType="end"/>
          </w:r>
        </w:p>
        <w:p w14:paraId="72ECA695">
          <w:pPr>
            <w:pStyle w:val="21"/>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0" w:firstLineChars="0"/>
            <w:textAlignment w:val="auto"/>
          </w:pPr>
          <w:r>
            <w:rPr>
              <w:color w:val="auto"/>
              <w:highlight w:val="yellow"/>
            </w:rPr>
            <w:fldChar w:fldCharType="begin"/>
          </w:r>
          <w:r>
            <w:rPr>
              <w:highlight w:val="yellow"/>
            </w:rPr>
            <w:instrText xml:space="preserve"> HYPERLINK \l _Toc13937 </w:instrText>
          </w:r>
          <w:r>
            <w:rPr>
              <w:highlight w:val="yellow"/>
            </w:rPr>
            <w:fldChar w:fldCharType="separate"/>
          </w:r>
          <w:r>
            <w:rPr>
              <w:rFonts w:hint="default" w:ascii="黑体" w:hAnsi="黑体" w:eastAsia="宋体" w:cs="宋体"/>
              <w:lang w:val="en-US" w:eastAsia="zh-CN"/>
            </w:rPr>
            <w:t xml:space="preserve">2 </w:t>
          </w:r>
          <w:r>
            <w:rPr>
              <w:rFonts w:hint="default"/>
              <w:lang w:val="en-US" w:eastAsia="zh-CN"/>
            </w:rPr>
            <w:t>事故风险分析</w:t>
          </w:r>
          <w:r>
            <w:tab/>
          </w:r>
          <w:r>
            <w:fldChar w:fldCharType="begin"/>
          </w:r>
          <w:r>
            <w:instrText xml:space="preserve"> PAGEREF _Toc13937 \h </w:instrText>
          </w:r>
          <w:r>
            <w:fldChar w:fldCharType="separate"/>
          </w:r>
          <w:r>
            <w:t>22</w:t>
          </w:r>
          <w:r>
            <w:fldChar w:fldCharType="end"/>
          </w:r>
          <w:r>
            <w:rPr>
              <w:color w:val="auto"/>
              <w:highlight w:val="yellow"/>
            </w:rPr>
            <w:fldChar w:fldCharType="end"/>
          </w:r>
        </w:p>
        <w:p w14:paraId="50FB4C10">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_Toc17524 </w:instrText>
          </w:r>
          <w:r>
            <w:rPr>
              <w:highlight w:val="yellow"/>
            </w:rPr>
            <w:fldChar w:fldCharType="separate"/>
          </w:r>
          <w:r>
            <w:rPr>
              <w:rFonts w:hint="default" w:ascii="Times New Roman" w:hAnsi="Times New Roman" w:eastAsia="宋体" w:cs="宋体"/>
              <w:szCs w:val="32"/>
              <w:lang w:val="en-US" w:eastAsia="zh-CN"/>
            </w:rPr>
            <w:t xml:space="preserve">2.1 </w:t>
          </w:r>
          <w:r>
            <w:rPr>
              <w:rFonts w:hint="default"/>
              <w:lang w:val="en-US" w:eastAsia="zh-CN"/>
            </w:rPr>
            <w:t>事故类型辨识分析依据</w:t>
          </w:r>
          <w:r>
            <w:tab/>
          </w:r>
          <w:r>
            <w:fldChar w:fldCharType="begin"/>
          </w:r>
          <w:r>
            <w:instrText xml:space="preserve"> PAGEREF _Toc17524 \h </w:instrText>
          </w:r>
          <w:r>
            <w:fldChar w:fldCharType="separate"/>
          </w:r>
          <w:r>
            <w:t>22</w:t>
          </w:r>
          <w:r>
            <w:fldChar w:fldCharType="end"/>
          </w:r>
          <w:r>
            <w:rPr>
              <w:color w:val="auto"/>
              <w:highlight w:val="yellow"/>
            </w:rPr>
            <w:fldChar w:fldCharType="end"/>
          </w:r>
        </w:p>
        <w:p w14:paraId="542571D0">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_Toc20166 </w:instrText>
          </w:r>
          <w:r>
            <w:rPr>
              <w:highlight w:val="yellow"/>
            </w:rPr>
            <w:fldChar w:fldCharType="separate"/>
          </w:r>
          <w:r>
            <w:rPr>
              <w:rFonts w:hint="default" w:ascii="Times New Roman" w:hAnsi="Times New Roman" w:eastAsia="宋体" w:cs="宋体"/>
              <w:bCs/>
              <w:szCs w:val="32"/>
            </w:rPr>
            <w:t xml:space="preserve">2.2 </w:t>
          </w:r>
          <w:r>
            <w:rPr>
              <w:rFonts w:hint="default"/>
              <w:lang w:val="en-US" w:eastAsia="zh-CN"/>
            </w:rPr>
            <w:t>事故</w:t>
          </w:r>
          <w:r>
            <w:rPr>
              <w:rFonts w:hint="eastAsia"/>
              <w:lang w:val="en-US" w:eastAsia="zh-CN"/>
            </w:rPr>
            <w:t>类型、危害后果和影响范围</w:t>
          </w:r>
          <w:r>
            <w:tab/>
          </w:r>
          <w:r>
            <w:fldChar w:fldCharType="begin"/>
          </w:r>
          <w:r>
            <w:instrText xml:space="preserve"> PAGEREF _Toc20166 \h </w:instrText>
          </w:r>
          <w:r>
            <w:fldChar w:fldCharType="separate"/>
          </w:r>
          <w:r>
            <w:t>22</w:t>
          </w:r>
          <w:r>
            <w:fldChar w:fldCharType="end"/>
          </w:r>
          <w:r>
            <w:rPr>
              <w:color w:val="auto"/>
              <w:highlight w:val="yellow"/>
            </w:rPr>
            <w:fldChar w:fldCharType="end"/>
          </w:r>
        </w:p>
        <w:p w14:paraId="142BD969">
          <w:pPr>
            <w:pStyle w:val="21"/>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0" w:firstLineChars="0"/>
            <w:textAlignment w:val="auto"/>
          </w:pPr>
          <w:r>
            <w:rPr>
              <w:color w:val="auto"/>
              <w:highlight w:val="yellow"/>
            </w:rPr>
            <w:fldChar w:fldCharType="begin"/>
          </w:r>
          <w:r>
            <w:rPr>
              <w:highlight w:val="yellow"/>
            </w:rPr>
            <w:instrText xml:space="preserve"> HYPERLINK \l _Toc27439 </w:instrText>
          </w:r>
          <w:r>
            <w:rPr>
              <w:highlight w:val="yellow"/>
            </w:rPr>
            <w:fldChar w:fldCharType="separate"/>
          </w:r>
          <w:r>
            <w:rPr>
              <w:rFonts w:hint="default" w:ascii="黑体" w:hAnsi="黑体" w:eastAsia="宋体" w:cs="宋体"/>
              <w:lang w:val="en-US" w:eastAsia="zh-CN"/>
            </w:rPr>
            <w:t xml:space="preserve">3 </w:t>
          </w:r>
          <w:r>
            <w:rPr>
              <w:rFonts w:hint="default"/>
            </w:rPr>
            <w:t>事故</w:t>
          </w:r>
          <w:r>
            <w:rPr>
              <w:rFonts w:hint="eastAsia"/>
              <w:lang w:val="en-US" w:eastAsia="zh-CN"/>
            </w:rPr>
            <w:t>风险评价</w:t>
          </w:r>
          <w:r>
            <w:tab/>
          </w:r>
          <w:r>
            <w:fldChar w:fldCharType="begin"/>
          </w:r>
          <w:r>
            <w:instrText xml:space="preserve"> PAGEREF _Toc27439 \h </w:instrText>
          </w:r>
          <w:r>
            <w:fldChar w:fldCharType="separate"/>
          </w:r>
          <w:r>
            <w:t>23</w:t>
          </w:r>
          <w:r>
            <w:fldChar w:fldCharType="end"/>
          </w:r>
          <w:r>
            <w:rPr>
              <w:color w:val="auto"/>
              <w:highlight w:val="yellow"/>
            </w:rPr>
            <w:fldChar w:fldCharType="end"/>
          </w:r>
        </w:p>
        <w:p w14:paraId="412A75D2">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_Toc6793 </w:instrText>
          </w:r>
          <w:r>
            <w:rPr>
              <w:highlight w:val="yellow"/>
            </w:rPr>
            <w:fldChar w:fldCharType="separate"/>
          </w:r>
          <w:r>
            <w:rPr>
              <w:rFonts w:hint="default" w:ascii="Times New Roman" w:hAnsi="Times New Roman" w:eastAsia="宋体" w:cs="宋体"/>
              <w:szCs w:val="32"/>
              <w:lang w:val="en-US" w:eastAsia="zh-CN"/>
            </w:rPr>
            <w:t xml:space="preserve">3.1 </w:t>
          </w:r>
          <w:r>
            <w:rPr>
              <w:rFonts w:hint="eastAsia"/>
              <w:lang w:val="en-US" w:eastAsia="zh-CN"/>
            </w:rPr>
            <w:t>事故风险评价方法</w:t>
          </w:r>
          <w:r>
            <w:tab/>
          </w:r>
          <w:r>
            <w:fldChar w:fldCharType="begin"/>
          </w:r>
          <w:r>
            <w:instrText xml:space="preserve"> PAGEREF _Toc6793 \h </w:instrText>
          </w:r>
          <w:r>
            <w:fldChar w:fldCharType="separate"/>
          </w:r>
          <w:r>
            <w:t>23</w:t>
          </w:r>
          <w:r>
            <w:fldChar w:fldCharType="end"/>
          </w:r>
          <w:r>
            <w:rPr>
              <w:color w:val="auto"/>
              <w:highlight w:val="yellow"/>
            </w:rPr>
            <w:fldChar w:fldCharType="end"/>
          </w:r>
        </w:p>
        <w:p w14:paraId="34F19DC3">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_Toc6824 </w:instrText>
          </w:r>
          <w:r>
            <w:rPr>
              <w:highlight w:val="yellow"/>
            </w:rPr>
            <w:fldChar w:fldCharType="separate"/>
          </w:r>
          <w:r>
            <w:rPr>
              <w:rFonts w:hint="default" w:ascii="Times New Roman" w:hAnsi="Times New Roman" w:eastAsia="宋体" w:cs="宋体"/>
              <w:szCs w:val="32"/>
              <w:lang w:val="en-US" w:eastAsia="zh-CN"/>
            </w:rPr>
            <w:t xml:space="preserve">3.2 </w:t>
          </w:r>
          <w:r>
            <w:rPr>
              <w:rFonts w:hint="eastAsia"/>
              <w:lang w:val="en-US" w:eastAsia="zh-CN"/>
            </w:rPr>
            <w:t>事故风险评估结果</w:t>
          </w:r>
          <w:r>
            <w:tab/>
          </w:r>
          <w:r>
            <w:fldChar w:fldCharType="begin"/>
          </w:r>
          <w:r>
            <w:instrText xml:space="preserve"> PAGEREF _Toc6824 \h </w:instrText>
          </w:r>
          <w:r>
            <w:fldChar w:fldCharType="separate"/>
          </w:r>
          <w:r>
            <w:t>26</w:t>
          </w:r>
          <w:r>
            <w:fldChar w:fldCharType="end"/>
          </w:r>
          <w:r>
            <w:rPr>
              <w:color w:val="auto"/>
              <w:highlight w:val="yellow"/>
            </w:rPr>
            <w:fldChar w:fldCharType="end"/>
          </w:r>
        </w:p>
        <w:p w14:paraId="26BA4F12">
          <w:pPr>
            <w:pStyle w:val="21"/>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0" w:firstLineChars="0"/>
            <w:textAlignment w:val="auto"/>
          </w:pPr>
          <w:r>
            <w:rPr>
              <w:color w:val="auto"/>
              <w:highlight w:val="yellow"/>
            </w:rPr>
            <w:fldChar w:fldCharType="begin"/>
          </w:r>
          <w:r>
            <w:rPr>
              <w:highlight w:val="yellow"/>
            </w:rPr>
            <w:instrText xml:space="preserve"> HYPERLINK \l _Toc23540 </w:instrText>
          </w:r>
          <w:r>
            <w:rPr>
              <w:highlight w:val="yellow"/>
            </w:rPr>
            <w:fldChar w:fldCharType="separate"/>
          </w:r>
          <w:r>
            <w:rPr>
              <w:rFonts w:hint="default" w:ascii="黑体" w:hAnsi="黑体" w:eastAsia="宋体" w:cs="宋体"/>
              <w:lang w:val="en-US" w:eastAsia="zh-CN"/>
            </w:rPr>
            <w:t xml:space="preserve">4 </w:t>
          </w:r>
          <w:r>
            <w:rPr>
              <w:rFonts w:hint="eastAsia"/>
              <w:lang w:val="en-US" w:eastAsia="zh-CN"/>
            </w:rPr>
            <w:t>结论及建议</w:t>
          </w:r>
          <w:r>
            <w:tab/>
          </w:r>
          <w:r>
            <w:fldChar w:fldCharType="begin"/>
          </w:r>
          <w:r>
            <w:instrText xml:space="preserve"> PAGEREF _Toc23540 \h </w:instrText>
          </w:r>
          <w:r>
            <w:fldChar w:fldCharType="separate"/>
          </w:r>
          <w:r>
            <w:t>26</w:t>
          </w:r>
          <w:r>
            <w:fldChar w:fldCharType="end"/>
          </w:r>
          <w:r>
            <w:rPr>
              <w:color w:val="auto"/>
              <w:highlight w:val="yellow"/>
            </w:rPr>
            <w:fldChar w:fldCharType="end"/>
          </w:r>
        </w:p>
        <w:p w14:paraId="7750876E">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_Toc20104 </w:instrText>
          </w:r>
          <w:r>
            <w:rPr>
              <w:highlight w:val="yellow"/>
            </w:rPr>
            <w:fldChar w:fldCharType="separate"/>
          </w:r>
          <w:r>
            <w:rPr>
              <w:rFonts w:hint="default" w:ascii="Times New Roman" w:hAnsi="Times New Roman" w:eastAsia="宋体" w:cs="宋体"/>
              <w:szCs w:val="32"/>
              <w:lang w:val="en-US" w:eastAsia="zh-CN"/>
            </w:rPr>
            <w:t xml:space="preserve">4.1 </w:t>
          </w:r>
          <w:r>
            <w:rPr>
              <w:rFonts w:hint="eastAsia"/>
              <w:lang w:val="en-US" w:eastAsia="zh-CN"/>
            </w:rPr>
            <w:t>结论</w:t>
          </w:r>
          <w:r>
            <w:tab/>
          </w:r>
          <w:r>
            <w:fldChar w:fldCharType="begin"/>
          </w:r>
          <w:r>
            <w:instrText xml:space="preserve"> PAGEREF _Toc20104 \h </w:instrText>
          </w:r>
          <w:r>
            <w:fldChar w:fldCharType="separate"/>
          </w:r>
          <w:r>
            <w:t>26</w:t>
          </w:r>
          <w:r>
            <w:fldChar w:fldCharType="end"/>
          </w:r>
          <w:r>
            <w:rPr>
              <w:color w:val="auto"/>
              <w:highlight w:val="yellow"/>
            </w:rPr>
            <w:fldChar w:fldCharType="end"/>
          </w:r>
        </w:p>
        <w:p w14:paraId="301C8D90">
          <w:pPr>
            <w:pStyle w:val="23"/>
            <w:keepNext w:val="0"/>
            <w:keepLines w:val="0"/>
            <w:pageBreakBefore w:val="0"/>
            <w:widowControl w:val="0"/>
            <w:tabs>
              <w:tab w:val="right" w:leader="dot" w:pos="8845"/>
            </w:tabs>
            <w:kinsoku/>
            <w:wordWrap/>
            <w:overflowPunct/>
            <w:topLinePunct w:val="0"/>
            <w:autoSpaceDE/>
            <w:autoSpaceDN/>
            <w:bidi w:val="0"/>
            <w:adjustRightInd/>
            <w:snapToGrid/>
            <w:spacing w:line="560" w:lineRule="exact"/>
            <w:ind w:left="0" w:leftChars="0" w:firstLine="654" w:firstLineChars="200"/>
            <w:textAlignment w:val="auto"/>
          </w:pPr>
          <w:r>
            <w:rPr>
              <w:color w:val="auto"/>
              <w:highlight w:val="yellow"/>
            </w:rPr>
            <w:fldChar w:fldCharType="begin"/>
          </w:r>
          <w:r>
            <w:rPr>
              <w:highlight w:val="yellow"/>
            </w:rPr>
            <w:instrText xml:space="preserve"> HYPERLINK \l _Toc8470 </w:instrText>
          </w:r>
          <w:r>
            <w:rPr>
              <w:highlight w:val="yellow"/>
            </w:rPr>
            <w:fldChar w:fldCharType="separate"/>
          </w:r>
          <w:r>
            <w:rPr>
              <w:rFonts w:hint="default" w:ascii="Times New Roman" w:hAnsi="Times New Roman" w:eastAsia="宋体" w:cs="宋体"/>
              <w:szCs w:val="32"/>
            </w:rPr>
            <w:t xml:space="preserve">4.2 </w:t>
          </w:r>
          <w:r>
            <w:rPr>
              <w:rFonts w:hint="eastAsia"/>
            </w:rPr>
            <w:t>建议</w:t>
          </w:r>
          <w:r>
            <w:tab/>
          </w:r>
          <w:r>
            <w:fldChar w:fldCharType="begin"/>
          </w:r>
          <w:r>
            <w:instrText xml:space="preserve"> PAGEREF _Toc8470 \h </w:instrText>
          </w:r>
          <w:r>
            <w:fldChar w:fldCharType="separate"/>
          </w:r>
          <w:r>
            <w:t>27</w:t>
          </w:r>
          <w:r>
            <w:fldChar w:fldCharType="end"/>
          </w:r>
          <w:r>
            <w:rPr>
              <w:color w:val="auto"/>
              <w:highlight w:val="yellow"/>
            </w:rPr>
            <w:fldChar w:fldCharType="end"/>
          </w:r>
        </w:p>
        <w:p w14:paraId="4BBD5D20">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color w:val="auto"/>
              <w:highlight w:val="yellow"/>
            </w:rPr>
          </w:pPr>
          <w:r>
            <w:rPr>
              <w:color w:val="auto"/>
              <w:highlight w:val="yellow"/>
            </w:rPr>
            <w:fldChar w:fldCharType="end"/>
          </w:r>
        </w:p>
      </w:sdtContent>
    </w:sdt>
    <w:p w14:paraId="0BEF8916">
      <w:pPr>
        <w:pStyle w:val="3"/>
        <w:ind w:firstLine="655"/>
        <w:rPr>
          <w:color w:val="auto"/>
        </w:rPr>
        <w:sectPr>
          <w:footerReference r:id="rId10" w:type="default"/>
          <w:pgSz w:w="11906" w:h="16838"/>
          <w:pgMar w:top="2098" w:right="1474" w:bottom="1984" w:left="1587" w:header="1134" w:footer="1020" w:gutter="0"/>
          <w:pgNumType w:start="1"/>
          <w:cols w:space="0" w:num="1"/>
          <w:docGrid w:type="linesAndChars" w:linePitch="589" w:charSpace="1554"/>
        </w:sectPr>
      </w:pPr>
      <w:bookmarkStart w:id="0" w:name="_Toc21133"/>
    </w:p>
    <w:p w14:paraId="372F2D73">
      <w:pPr>
        <w:pStyle w:val="3"/>
        <w:ind w:firstLine="655"/>
        <w:rPr>
          <w:color w:val="auto"/>
        </w:rPr>
      </w:pPr>
      <w:r>
        <w:rPr>
          <w:rFonts w:hint="eastAsia"/>
          <w:color w:val="auto"/>
        </w:rPr>
        <w:t>危险有害因素辨识</w:t>
      </w:r>
      <w:r>
        <w:rPr>
          <w:rFonts w:hint="eastAsia"/>
          <w:color w:val="auto"/>
          <w:lang w:val="en-US" w:eastAsia="zh-CN"/>
        </w:rPr>
        <w:t>分析</w:t>
      </w:r>
      <w:bookmarkEnd w:id="0"/>
    </w:p>
    <w:p w14:paraId="6433F5D9">
      <w:pPr>
        <w:bidi w:val="0"/>
        <w:rPr>
          <w:color w:val="auto"/>
        </w:rPr>
      </w:pPr>
      <w:r>
        <w:rPr>
          <w:color w:val="auto"/>
        </w:rPr>
        <w:t>危险因素是指能对人造成伤亡或对物造成突发性损害的因素，有害因素是指能影响人的身体健康，导致疾病或对物造成慢性损害的因素，一般情况下二者通称为危险有害因素。危险有害因素辨识分析是应急预案编制工作的重要环节，也是应急预案编制工作的基础。</w:t>
      </w:r>
    </w:p>
    <w:p w14:paraId="6D803F36">
      <w:pPr>
        <w:bidi w:val="0"/>
        <w:rPr>
          <w:color w:val="auto"/>
        </w:rPr>
      </w:pPr>
      <w:r>
        <w:rPr>
          <w:color w:val="auto"/>
        </w:rPr>
        <w:t>为全面准确地识别出</w:t>
      </w:r>
      <w:bookmarkStart w:id="43" w:name="_GoBack"/>
      <w:r>
        <w:rPr>
          <w:rFonts w:hint="eastAsia"/>
          <w:color w:val="auto"/>
          <w:highlight w:val="yellow"/>
          <w:lang w:eastAsia="zh-CN"/>
        </w:rPr>
        <w:t>西安新兴紫楹台酒店有限公司</w:t>
      </w:r>
      <w:r>
        <w:rPr>
          <w:rFonts w:hint="eastAsia"/>
          <w:color w:val="auto"/>
          <w:highlight w:val="yellow"/>
          <w:lang w:val="en-US" w:eastAsia="zh-CN"/>
        </w:rPr>
        <w:t>紫楹台酒店</w:t>
      </w:r>
      <w:bookmarkEnd w:id="43"/>
      <w:r>
        <w:rPr>
          <w:rFonts w:hint="eastAsia"/>
          <w:color w:val="auto"/>
        </w:rPr>
        <w:t>（以下简称</w:t>
      </w:r>
      <w:r>
        <w:rPr>
          <w:rFonts w:hint="eastAsia"/>
          <w:color w:val="auto"/>
          <w:lang w:eastAsia="zh-CN"/>
        </w:rPr>
        <w:t>“</w:t>
      </w:r>
      <w:r>
        <w:rPr>
          <w:rFonts w:hint="eastAsia"/>
          <w:color w:val="auto"/>
          <w:highlight w:val="yellow"/>
          <w:lang w:eastAsia="zh-CN"/>
        </w:rPr>
        <w:t>酒店</w:t>
      </w:r>
      <w:r>
        <w:rPr>
          <w:rFonts w:hint="eastAsia"/>
          <w:color w:val="auto"/>
          <w:lang w:eastAsia="zh-CN"/>
        </w:rPr>
        <w:t>”</w:t>
      </w:r>
      <w:r>
        <w:rPr>
          <w:rFonts w:hint="eastAsia"/>
          <w:color w:val="auto"/>
        </w:rPr>
        <w:t>）</w:t>
      </w:r>
      <w:r>
        <w:rPr>
          <w:color w:val="auto"/>
        </w:rPr>
        <w:t>潜在的各种危险有害因素，报告从</w:t>
      </w:r>
      <w:r>
        <w:rPr>
          <w:rFonts w:hint="eastAsia"/>
          <w:color w:val="auto"/>
          <w:highlight w:val="yellow"/>
          <w:lang w:eastAsia="zh-CN"/>
        </w:rPr>
        <w:t>酒店</w:t>
      </w:r>
      <w:r>
        <w:rPr>
          <w:color w:val="auto"/>
        </w:rPr>
        <w:t>涉及的危险物料的特性、</w:t>
      </w:r>
      <w:r>
        <w:rPr>
          <w:rFonts w:hint="eastAsia"/>
          <w:color w:val="auto"/>
        </w:rPr>
        <w:t>运营经营</w:t>
      </w:r>
      <w:r>
        <w:rPr>
          <w:color w:val="auto"/>
        </w:rPr>
        <w:t>过程等方面进行分析评价。</w:t>
      </w:r>
    </w:p>
    <w:p w14:paraId="3C50CE83">
      <w:pPr>
        <w:pStyle w:val="4"/>
        <w:ind w:firstLine="655"/>
        <w:rPr>
          <w:color w:val="auto"/>
        </w:rPr>
      </w:pPr>
      <w:bookmarkStart w:id="1" w:name="_Toc25158"/>
      <w:r>
        <w:rPr>
          <w:rFonts w:hint="eastAsia" w:cs="Times New Roman"/>
          <w:color w:val="auto"/>
          <w:highlight w:val="none"/>
          <w:lang w:eastAsia="zh-CN"/>
        </w:rPr>
        <w:t>危险化学品</w:t>
      </w:r>
      <w:r>
        <w:rPr>
          <w:rFonts w:hint="default" w:ascii="Times New Roman" w:hAnsi="Times New Roman" w:cs="Times New Roman"/>
          <w:color w:val="auto"/>
          <w:highlight w:val="none"/>
          <w:lang w:val="en-US" w:eastAsia="zh-CN"/>
        </w:rPr>
        <w:t>有害因素辨识</w:t>
      </w:r>
      <w:bookmarkEnd w:id="1"/>
    </w:p>
    <w:p w14:paraId="48818181">
      <w:pPr>
        <w:bidi w:val="0"/>
        <w:rPr>
          <w:color w:val="auto"/>
        </w:rPr>
      </w:pPr>
      <w:r>
        <w:rPr>
          <w:rFonts w:hint="eastAsia"/>
          <w:color w:val="auto"/>
        </w:rPr>
        <w:t>依据《危险化学品目录（2015版）》《危险货物品名表》（GB12268-2012）可知</w:t>
      </w:r>
      <w:r>
        <w:rPr>
          <w:rFonts w:hint="eastAsia"/>
          <w:color w:val="auto"/>
          <w:lang w:eastAsia="zh-CN"/>
        </w:rPr>
        <w:t>酒店</w:t>
      </w:r>
      <w:r>
        <w:rPr>
          <w:rFonts w:hint="eastAsia"/>
          <w:color w:val="auto"/>
        </w:rPr>
        <w:t>在经营过程中存在的主要危险、</w:t>
      </w:r>
      <w:r>
        <w:rPr>
          <w:rFonts w:hint="eastAsia"/>
          <w:color w:val="auto"/>
          <w:highlight w:val="yellow"/>
        </w:rPr>
        <w:t>有害物质是</w:t>
      </w:r>
      <w:r>
        <w:rPr>
          <w:rFonts w:hint="eastAsia"/>
          <w:color w:val="auto"/>
          <w:highlight w:val="yellow"/>
          <w:lang w:val="en-US" w:eastAsia="zh-CN"/>
        </w:rPr>
        <w:t>天然气、柴油</w:t>
      </w:r>
      <w:r>
        <w:rPr>
          <w:rFonts w:hint="eastAsia"/>
          <w:color w:val="auto"/>
        </w:rPr>
        <w:t>。</w:t>
      </w:r>
      <w:r>
        <w:rPr>
          <w:rFonts w:hint="eastAsia"/>
          <w:color w:val="auto"/>
          <w:lang w:val="en-US" w:eastAsia="zh-CN"/>
        </w:rPr>
        <w:t>天然气、柴油</w:t>
      </w:r>
      <w:r>
        <w:rPr>
          <w:rFonts w:hint="eastAsia"/>
          <w:color w:val="auto"/>
        </w:rPr>
        <w:t>的安全技术说明书如下：</w:t>
      </w:r>
    </w:p>
    <w:p w14:paraId="6486069F">
      <w:pPr>
        <w:ind w:firstLine="0" w:firstLineChars="0"/>
        <w:jc w:val="center"/>
        <w:outlineLvl w:val="4"/>
        <w:rPr>
          <w:rFonts w:hint="eastAsia" w:ascii="宋体" w:hAnsi="宋体" w:eastAsia="宋体" w:cs="宋体"/>
          <w:b/>
          <w:bCs/>
          <w:color w:val="auto"/>
          <w:sz w:val="28"/>
          <w:szCs w:val="28"/>
        </w:rPr>
      </w:pPr>
      <w:r>
        <w:rPr>
          <w:rFonts w:hint="eastAsia" w:ascii="宋体" w:hAnsi="宋体" w:eastAsia="宋体" w:cs="宋体"/>
          <w:b/>
          <w:bCs/>
          <w:color w:val="auto"/>
          <w:sz w:val="28"/>
          <w:szCs w:val="28"/>
          <w:lang w:val="en-US" w:eastAsia="zh-CN"/>
        </w:rPr>
        <w:t>天然气</w:t>
      </w:r>
      <w:r>
        <w:rPr>
          <w:rFonts w:hint="eastAsia" w:ascii="宋体" w:hAnsi="宋体" w:eastAsia="宋体" w:cs="宋体"/>
          <w:b/>
          <w:bCs/>
          <w:color w:val="auto"/>
          <w:sz w:val="28"/>
          <w:szCs w:val="28"/>
        </w:rPr>
        <w:t>理化特性及危害特性表</w:t>
      </w:r>
    </w:p>
    <w:tbl>
      <w:tblPr>
        <w:tblStyle w:val="26"/>
        <w:tblW w:w="8789"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114"/>
        <w:gridCol w:w="1737"/>
        <w:gridCol w:w="1928"/>
        <w:gridCol w:w="1674"/>
        <w:gridCol w:w="2336"/>
      </w:tblGrid>
      <w:tr w14:paraId="0A54FE0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84" w:hRule="atLeast"/>
          <w:jc w:val="center"/>
        </w:trPr>
        <w:tc>
          <w:tcPr>
            <w:tcW w:w="1114" w:type="dxa"/>
            <w:vMerge w:val="restart"/>
            <w:noWrap w:val="0"/>
            <w:vAlign w:val="center"/>
          </w:tcPr>
          <w:p w14:paraId="33E000D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标识</w:t>
            </w:r>
          </w:p>
        </w:tc>
        <w:tc>
          <w:tcPr>
            <w:tcW w:w="1737" w:type="dxa"/>
            <w:noWrap w:val="0"/>
            <w:vAlign w:val="center"/>
          </w:tcPr>
          <w:p w14:paraId="76F7209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中文名</w:t>
            </w:r>
          </w:p>
        </w:tc>
        <w:tc>
          <w:tcPr>
            <w:tcW w:w="1928" w:type="dxa"/>
            <w:noWrap w:val="0"/>
            <w:vAlign w:val="center"/>
          </w:tcPr>
          <w:p w14:paraId="0B39037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天然气</w:t>
            </w:r>
          </w:p>
        </w:tc>
        <w:tc>
          <w:tcPr>
            <w:tcW w:w="1674" w:type="dxa"/>
            <w:noWrap w:val="0"/>
            <w:vAlign w:val="center"/>
          </w:tcPr>
          <w:p w14:paraId="1109690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英文名</w:t>
            </w:r>
          </w:p>
        </w:tc>
        <w:tc>
          <w:tcPr>
            <w:tcW w:w="2336" w:type="dxa"/>
            <w:noWrap w:val="0"/>
            <w:vAlign w:val="center"/>
          </w:tcPr>
          <w:p w14:paraId="4814714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methane</w:t>
            </w:r>
          </w:p>
        </w:tc>
      </w:tr>
      <w:tr w14:paraId="27FD674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2F4321CA">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45D422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分子式</w:t>
            </w:r>
          </w:p>
        </w:tc>
        <w:tc>
          <w:tcPr>
            <w:tcW w:w="1928" w:type="dxa"/>
            <w:noWrap w:val="0"/>
            <w:vAlign w:val="center"/>
          </w:tcPr>
          <w:p w14:paraId="696131E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CH</w:t>
            </w:r>
            <w:r>
              <w:rPr>
                <w:rFonts w:hint="eastAsia" w:ascii="宋体" w:hAnsi="宋体" w:eastAsia="宋体" w:cs="宋体"/>
                <w:color w:val="auto"/>
                <w:sz w:val="24"/>
                <w:szCs w:val="24"/>
                <w:vertAlign w:val="subscript"/>
              </w:rPr>
              <w:t>4</w:t>
            </w:r>
          </w:p>
        </w:tc>
        <w:tc>
          <w:tcPr>
            <w:tcW w:w="1674" w:type="dxa"/>
            <w:noWrap w:val="0"/>
            <w:vAlign w:val="center"/>
          </w:tcPr>
          <w:p w14:paraId="19A27D3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危险化学品序号：2123</w:t>
            </w:r>
          </w:p>
        </w:tc>
        <w:tc>
          <w:tcPr>
            <w:tcW w:w="2336" w:type="dxa"/>
            <w:noWrap w:val="0"/>
            <w:vAlign w:val="center"/>
          </w:tcPr>
          <w:p w14:paraId="6007A5B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CAS号：8006-14-2</w:t>
            </w:r>
          </w:p>
        </w:tc>
      </w:tr>
      <w:tr w14:paraId="5E6A97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7" w:hRule="atLeast"/>
          <w:jc w:val="center"/>
        </w:trPr>
        <w:tc>
          <w:tcPr>
            <w:tcW w:w="1114" w:type="dxa"/>
            <w:vMerge w:val="continue"/>
            <w:noWrap w:val="0"/>
            <w:vAlign w:val="center"/>
          </w:tcPr>
          <w:p w14:paraId="3B85470D">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6A20375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分子量</w:t>
            </w:r>
          </w:p>
        </w:tc>
        <w:tc>
          <w:tcPr>
            <w:tcW w:w="1928" w:type="dxa"/>
            <w:noWrap w:val="0"/>
            <w:vAlign w:val="center"/>
          </w:tcPr>
          <w:p w14:paraId="6F2B821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16.04</w:t>
            </w:r>
          </w:p>
        </w:tc>
        <w:tc>
          <w:tcPr>
            <w:tcW w:w="1674" w:type="dxa"/>
            <w:noWrap w:val="0"/>
            <w:vAlign w:val="center"/>
          </w:tcPr>
          <w:p w14:paraId="5F4E638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危险性类别</w:t>
            </w:r>
          </w:p>
        </w:tc>
        <w:tc>
          <w:tcPr>
            <w:tcW w:w="2336" w:type="dxa"/>
            <w:noWrap w:val="0"/>
            <w:vAlign w:val="center"/>
          </w:tcPr>
          <w:p w14:paraId="2288678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第2.1类易燃气体</w:t>
            </w:r>
          </w:p>
        </w:tc>
      </w:tr>
      <w:tr w14:paraId="39399EA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63" w:hRule="atLeast"/>
          <w:jc w:val="center"/>
        </w:trPr>
        <w:tc>
          <w:tcPr>
            <w:tcW w:w="1114" w:type="dxa"/>
            <w:vMerge w:val="restart"/>
            <w:noWrap w:val="0"/>
            <w:vAlign w:val="center"/>
          </w:tcPr>
          <w:p w14:paraId="6E73BF53">
            <w:pPr>
              <w:keepNext w:val="0"/>
              <w:keepLines w:val="0"/>
              <w:suppressLineNumbers w:val="0"/>
              <w:spacing w:before="0" w:beforeAutospacing="0" w:after="0" w:afterAutospacing="0" w:line="300" w:lineRule="exact"/>
              <w:ind w:left="0" w:leftChars="0" w:right="0" w:firstLine="0" w:firstLineChars="0"/>
              <w:jc w:val="both"/>
              <w:rPr>
                <w:rFonts w:hint="eastAsia" w:ascii="宋体" w:hAnsi="宋体" w:eastAsia="宋体" w:cs="宋体"/>
                <w:color w:val="auto"/>
                <w:sz w:val="24"/>
                <w:szCs w:val="24"/>
              </w:rPr>
            </w:pPr>
            <w:r>
              <w:rPr>
                <w:rFonts w:hint="eastAsia" w:ascii="宋体" w:hAnsi="宋体" w:eastAsia="宋体" w:cs="宋体"/>
                <w:color w:val="auto"/>
                <w:sz w:val="24"/>
                <w:szCs w:val="24"/>
              </w:rPr>
              <w:t>理化特性</w:t>
            </w:r>
          </w:p>
        </w:tc>
        <w:tc>
          <w:tcPr>
            <w:tcW w:w="1737" w:type="dxa"/>
            <w:noWrap w:val="0"/>
            <w:vAlign w:val="center"/>
          </w:tcPr>
          <w:p w14:paraId="02771E8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熔点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1928" w:type="dxa"/>
            <w:noWrap w:val="0"/>
            <w:vAlign w:val="center"/>
          </w:tcPr>
          <w:p w14:paraId="6560AC0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-182.5</w:t>
            </w:r>
          </w:p>
        </w:tc>
        <w:tc>
          <w:tcPr>
            <w:tcW w:w="1674" w:type="dxa"/>
            <w:noWrap w:val="0"/>
            <w:vAlign w:val="center"/>
          </w:tcPr>
          <w:p w14:paraId="5975E72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沸点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2336" w:type="dxa"/>
            <w:noWrap w:val="0"/>
            <w:vAlign w:val="center"/>
          </w:tcPr>
          <w:p w14:paraId="27D168E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-161.5</w:t>
            </w:r>
          </w:p>
        </w:tc>
      </w:tr>
      <w:tr w14:paraId="4B5A596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5D056738">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0CF2B34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kJ/mol</w:t>
            </w:r>
            <w:r>
              <w:rPr>
                <w:rFonts w:hint="eastAsia" w:ascii="宋体" w:hAnsi="宋体" w:eastAsia="宋体" w:cs="宋体"/>
                <w:color w:val="auto"/>
                <w:sz w:val="24"/>
                <w:szCs w:val="24"/>
                <w:lang w:eastAsia="zh-CN"/>
              </w:rPr>
              <w:t>）</w:t>
            </w:r>
          </w:p>
        </w:tc>
        <w:tc>
          <w:tcPr>
            <w:tcW w:w="1928" w:type="dxa"/>
            <w:noWrap w:val="0"/>
            <w:vAlign w:val="center"/>
          </w:tcPr>
          <w:p w14:paraId="17550BA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889.5</w:t>
            </w:r>
          </w:p>
        </w:tc>
        <w:tc>
          <w:tcPr>
            <w:tcW w:w="1674" w:type="dxa"/>
            <w:noWrap w:val="0"/>
            <w:vAlign w:val="center"/>
          </w:tcPr>
          <w:p w14:paraId="00FAD80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lang w:eastAsia="zh-CN"/>
              </w:rPr>
              <w:t>饱和蒸汽</w:t>
            </w:r>
            <w:r>
              <w:rPr>
                <w:rFonts w:hint="eastAsia" w:ascii="宋体" w:hAnsi="宋体" w:eastAsia="宋体" w:cs="宋体"/>
                <w:color w:val="auto"/>
                <w:sz w:val="24"/>
                <w:szCs w:val="24"/>
              </w:rPr>
              <w:t>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kPa</w:t>
            </w:r>
            <w:r>
              <w:rPr>
                <w:rFonts w:hint="eastAsia" w:ascii="宋体" w:hAnsi="宋体" w:eastAsia="宋体" w:cs="宋体"/>
                <w:color w:val="auto"/>
                <w:sz w:val="24"/>
                <w:szCs w:val="24"/>
                <w:lang w:eastAsia="zh-CN"/>
              </w:rPr>
              <w:t>）</w:t>
            </w:r>
          </w:p>
        </w:tc>
        <w:tc>
          <w:tcPr>
            <w:tcW w:w="2336" w:type="dxa"/>
            <w:noWrap w:val="0"/>
            <w:vAlign w:val="center"/>
          </w:tcPr>
          <w:p w14:paraId="249A61A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53.32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-168.8℃</w:t>
            </w:r>
            <w:r>
              <w:rPr>
                <w:rFonts w:hint="eastAsia" w:ascii="宋体" w:hAnsi="宋体" w:eastAsia="宋体" w:cs="宋体"/>
                <w:color w:val="auto"/>
                <w:sz w:val="24"/>
                <w:szCs w:val="24"/>
                <w:lang w:eastAsia="zh-CN"/>
              </w:rPr>
              <w:t>）</w:t>
            </w:r>
          </w:p>
        </w:tc>
      </w:tr>
      <w:tr w14:paraId="5B20E5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78" w:hRule="atLeast"/>
          <w:jc w:val="center"/>
        </w:trPr>
        <w:tc>
          <w:tcPr>
            <w:tcW w:w="1114" w:type="dxa"/>
            <w:vMerge w:val="continue"/>
            <w:noWrap w:val="0"/>
            <w:vAlign w:val="center"/>
          </w:tcPr>
          <w:p w14:paraId="7FFE37B4">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523E134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相对密度</w:t>
            </w:r>
          </w:p>
        </w:tc>
        <w:tc>
          <w:tcPr>
            <w:tcW w:w="5938" w:type="dxa"/>
            <w:gridSpan w:val="3"/>
            <w:noWrap w:val="0"/>
            <w:vAlign w:val="center"/>
          </w:tcPr>
          <w:p w14:paraId="30236BE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水=1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0.42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-164℃</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空气=1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0.55</w:t>
            </w:r>
          </w:p>
        </w:tc>
      </w:tr>
      <w:tr w14:paraId="19EF12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00" w:hRule="atLeast"/>
          <w:jc w:val="center"/>
        </w:trPr>
        <w:tc>
          <w:tcPr>
            <w:tcW w:w="1114" w:type="dxa"/>
            <w:vMerge w:val="continue"/>
            <w:noWrap w:val="0"/>
            <w:vAlign w:val="center"/>
          </w:tcPr>
          <w:p w14:paraId="2E12DCDE">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4EE7E49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外观性状</w:t>
            </w:r>
          </w:p>
        </w:tc>
        <w:tc>
          <w:tcPr>
            <w:tcW w:w="5938" w:type="dxa"/>
            <w:gridSpan w:val="3"/>
            <w:noWrap w:val="0"/>
            <w:vAlign w:val="center"/>
          </w:tcPr>
          <w:p w14:paraId="52985E4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无色无臭液化气体</w:t>
            </w:r>
          </w:p>
        </w:tc>
      </w:tr>
      <w:tr w14:paraId="2AEB916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35" w:hRule="atLeast"/>
          <w:jc w:val="center"/>
        </w:trPr>
        <w:tc>
          <w:tcPr>
            <w:tcW w:w="1114" w:type="dxa"/>
            <w:vMerge w:val="continue"/>
            <w:noWrap w:val="0"/>
            <w:vAlign w:val="center"/>
          </w:tcPr>
          <w:p w14:paraId="7D260391">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2B3598E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溶解性</w:t>
            </w:r>
          </w:p>
        </w:tc>
        <w:tc>
          <w:tcPr>
            <w:tcW w:w="5938" w:type="dxa"/>
            <w:gridSpan w:val="3"/>
            <w:noWrap w:val="0"/>
            <w:vAlign w:val="center"/>
          </w:tcPr>
          <w:p w14:paraId="25819A0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微溶于水，溶于醇、乙醚</w:t>
            </w:r>
          </w:p>
        </w:tc>
      </w:tr>
      <w:tr w14:paraId="322E0C7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35" w:hRule="atLeast"/>
          <w:jc w:val="center"/>
        </w:trPr>
        <w:tc>
          <w:tcPr>
            <w:tcW w:w="1114" w:type="dxa"/>
            <w:vMerge w:val="continue"/>
            <w:noWrap w:val="0"/>
            <w:vAlign w:val="center"/>
          </w:tcPr>
          <w:p w14:paraId="7C6C70AF">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1F7ECA3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稳定性</w:t>
            </w:r>
          </w:p>
        </w:tc>
        <w:tc>
          <w:tcPr>
            <w:tcW w:w="1928" w:type="dxa"/>
            <w:noWrap w:val="0"/>
            <w:vAlign w:val="center"/>
          </w:tcPr>
          <w:p w14:paraId="6AA38E1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w:t>
            </w:r>
          </w:p>
        </w:tc>
        <w:tc>
          <w:tcPr>
            <w:tcW w:w="1674" w:type="dxa"/>
            <w:noWrap w:val="0"/>
            <w:vAlign w:val="center"/>
          </w:tcPr>
          <w:p w14:paraId="4E90633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聚合危害</w:t>
            </w:r>
          </w:p>
        </w:tc>
        <w:tc>
          <w:tcPr>
            <w:tcW w:w="2336" w:type="dxa"/>
            <w:noWrap w:val="0"/>
            <w:vAlign w:val="center"/>
          </w:tcPr>
          <w:p w14:paraId="7660D69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3FD3D5B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74EBAB55">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4E63CCB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禁忌物</w:t>
            </w:r>
          </w:p>
        </w:tc>
        <w:tc>
          <w:tcPr>
            <w:tcW w:w="1928" w:type="dxa"/>
            <w:noWrap w:val="0"/>
            <w:vAlign w:val="center"/>
          </w:tcPr>
          <w:p w14:paraId="0718044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强氧化剂、氟、氯</w:t>
            </w:r>
          </w:p>
        </w:tc>
        <w:tc>
          <w:tcPr>
            <w:tcW w:w="1674" w:type="dxa"/>
            <w:noWrap w:val="0"/>
            <w:vAlign w:val="center"/>
          </w:tcPr>
          <w:p w14:paraId="2C45301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产物</w:t>
            </w:r>
          </w:p>
        </w:tc>
        <w:tc>
          <w:tcPr>
            <w:tcW w:w="2336" w:type="dxa"/>
            <w:noWrap w:val="0"/>
            <w:vAlign w:val="center"/>
          </w:tcPr>
          <w:p w14:paraId="4CDBC52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一氧化碳、二氧化碳</w:t>
            </w:r>
          </w:p>
        </w:tc>
      </w:tr>
      <w:tr w14:paraId="5F8A60C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25B3A5CE">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5F3D417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主要用途</w:t>
            </w:r>
          </w:p>
        </w:tc>
        <w:tc>
          <w:tcPr>
            <w:tcW w:w="5938" w:type="dxa"/>
            <w:gridSpan w:val="3"/>
            <w:noWrap w:val="0"/>
            <w:vAlign w:val="center"/>
          </w:tcPr>
          <w:p w14:paraId="1B052CA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用作燃料和用于炭黑、氢、乙炔、甲醛等的制造</w:t>
            </w:r>
          </w:p>
        </w:tc>
      </w:tr>
      <w:tr w14:paraId="73277A5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restart"/>
            <w:noWrap w:val="0"/>
            <w:vAlign w:val="center"/>
          </w:tcPr>
          <w:p w14:paraId="0968E5C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燃爆特性</w:t>
            </w:r>
          </w:p>
        </w:tc>
        <w:tc>
          <w:tcPr>
            <w:tcW w:w="1737" w:type="dxa"/>
            <w:noWrap w:val="0"/>
            <w:vAlign w:val="center"/>
          </w:tcPr>
          <w:p w14:paraId="74DC15D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燃烧性</w:t>
            </w:r>
          </w:p>
        </w:tc>
        <w:tc>
          <w:tcPr>
            <w:tcW w:w="1928" w:type="dxa"/>
            <w:noWrap w:val="0"/>
            <w:vAlign w:val="center"/>
          </w:tcPr>
          <w:p w14:paraId="24F7F03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易燃</w:t>
            </w:r>
          </w:p>
        </w:tc>
        <w:tc>
          <w:tcPr>
            <w:tcW w:w="1674" w:type="dxa"/>
            <w:noWrap w:val="0"/>
            <w:vAlign w:val="center"/>
          </w:tcPr>
          <w:p w14:paraId="511AC84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建规火险分级</w:t>
            </w:r>
          </w:p>
        </w:tc>
        <w:tc>
          <w:tcPr>
            <w:tcW w:w="2336" w:type="dxa"/>
            <w:noWrap w:val="0"/>
            <w:vAlign w:val="center"/>
          </w:tcPr>
          <w:p w14:paraId="00AD3D1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甲</w:t>
            </w:r>
          </w:p>
        </w:tc>
      </w:tr>
      <w:tr w14:paraId="2C778E9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57611E4A">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797FD00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闪点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1928" w:type="dxa"/>
            <w:noWrap w:val="0"/>
            <w:vAlign w:val="center"/>
          </w:tcPr>
          <w:p w14:paraId="6ED6717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-188</w:t>
            </w:r>
          </w:p>
        </w:tc>
        <w:tc>
          <w:tcPr>
            <w:tcW w:w="1674" w:type="dxa"/>
            <w:noWrap w:val="0"/>
            <w:vAlign w:val="center"/>
          </w:tcPr>
          <w:p w14:paraId="30BD2D9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引燃温度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2336" w:type="dxa"/>
            <w:noWrap w:val="0"/>
            <w:vAlign w:val="center"/>
          </w:tcPr>
          <w:p w14:paraId="686177A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538</w:t>
            </w:r>
          </w:p>
        </w:tc>
      </w:tr>
      <w:tr w14:paraId="349A7B4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62DFA432">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790DF2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爆炸下限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w:t>
            </w:r>
            <w:r>
              <w:rPr>
                <w:rFonts w:hint="eastAsia" w:ascii="宋体" w:hAnsi="宋体" w:eastAsia="宋体" w:cs="宋体"/>
                <w:color w:val="auto"/>
                <w:sz w:val="24"/>
                <w:szCs w:val="24"/>
                <w:lang w:eastAsia="zh-CN"/>
              </w:rPr>
              <w:t>）</w:t>
            </w:r>
          </w:p>
        </w:tc>
        <w:tc>
          <w:tcPr>
            <w:tcW w:w="1928" w:type="dxa"/>
            <w:noWrap w:val="0"/>
            <w:vAlign w:val="center"/>
          </w:tcPr>
          <w:p w14:paraId="710AFBC2">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w:t>
            </w:r>
          </w:p>
        </w:tc>
        <w:tc>
          <w:tcPr>
            <w:tcW w:w="1674" w:type="dxa"/>
            <w:noWrap w:val="0"/>
            <w:vAlign w:val="center"/>
          </w:tcPr>
          <w:p w14:paraId="5416162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爆炸上限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w:t>
            </w:r>
            <w:r>
              <w:rPr>
                <w:rFonts w:hint="eastAsia" w:ascii="宋体" w:hAnsi="宋体" w:eastAsia="宋体" w:cs="宋体"/>
                <w:color w:val="auto"/>
                <w:sz w:val="24"/>
                <w:szCs w:val="24"/>
                <w:lang w:eastAsia="zh-CN"/>
              </w:rPr>
              <w:t>）</w:t>
            </w:r>
          </w:p>
        </w:tc>
        <w:tc>
          <w:tcPr>
            <w:tcW w:w="2336" w:type="dxa"/>
            <w:noWrap w:val="0"/>
            <w:vAlign w:val="center"/>
          </w:tcPr>
          <w:p w14:paraId="676937C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w:t>
            </w:r>
          </w:p>
        </w:tc>
      </w:tr>
      <w:tr w14:paraId="2C9D70D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467EAEAF">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86A68F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危险特性</w:t>
            </w:r>
          </w:p>
        </w:tc>
        <w:tc>
          <w:tcPr>
            <w:tcW w:w="5938" w:type="dxa"/>
            <w:gridSpan w:val="3"/>
            <w:noWrap w:val="0"/>
            <w:vAlign w:val="center"/>
          </w:tcPr>
          <w:p w14:paraId="642B562D">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易燃，与空气混合能形成爆炸性混合物，遇热源和明火有燃烧爆炸的危险。与五氧化溴、氯气、次氯酸、三氟化氮、液氧、二氟化氧</w:t>
            </w:r>
            <w:r>
              <w:rPr>
                <w:rFonts w:hint="eastAsia" w:ascii="宋体" w:hAnsi="宋体" w:eastAsia="宋体" w:cs="宋体"/>
                <w:color w:val="auto"/>
                <w:sz w:val="24"/>
                <w:szCs w:val="24"/>
                <w:lang w:eastAsia="zh-CN"/>
              </w:rPr>
              <w:t>及其他</w:t>
            </w:r>
            <w:r>
              <w:rPr>
                <w:rFonts w:hint="eastAsia" w:ascii="宋体" w:hAnsi="宋体" w:eastAsia="宋体" w:cs="宋体"/>
                <w:color w:val="auto"/>
                <w:sz w:val="24"/>
                <w:szCs w:val="24"/>
              </w:rPr>
              <w:t>强氧化剂接触剧烈反应</w:t>
            </w:r>
          </w:p>
        </w:tc>
      </w:tr>
      <w:tr w14:paraId="2EB3F0C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46A61F9B">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16F2C28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灭火方法</w:t>
            </w:r>
          </w:p>
        </w:tc>
        <w:tc>
          <w:tcPr>
            <w:tcW w:w="5938" w:type="dxa"/>
            <w:gridSpan w:val="3"/>
            <w:noWrap w:val="0"/>
            <w:vAlign w:val="center"/>
          </w:tcPr>
          <w:p w14:paraId="37072C26">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切断气源。若不能切断气源，则不允许熄灭泄漏处的火焰。喷水冷却容器，可能的话将容器从火场移至空旷处。灭火剂：雾状水、泡沫、二氧化碳、干粉</w:t>
            </w:r>
          </w:p>
        </w:tc>
      </w:tr>
      <w:tr w14:paraId="2AD41EF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restart"/>
            <w:noWrap w:val="0"/>
            <w:vAlign w:val="center"/>
          </w:tcPr>
          <w:p w14:paraId="054661B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毒性及健康危害</w:t>
            </w:r>
          </w:p>
        </w:tc>
        <w:tc>
          <w:tcPr>
            <w:tcW w:w="1737" w:type="dxa"/>
            <w:noWrap w:val="0"/>
            <w:vAlign w:val="center"/>
          </w:tcPr>
          <w:p w14:paraId="5D6F92B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车间卫生标准</w:t>
            </w:r>
          </w:p>
        </w:tc>
        <w:tc>
          <w:tcPr>
            <w:tcW w:w="5938" w:type="dxa"/>
            <w:gridSpan w:val="3"/>
            <w:noWrap w:val="0"/>
            <w:vAlign w:val="center"/>
          </w:tcPr>
          <w:p w14:paraId="6A7072CE">
            <w:pPr>
              <w:keepNext w:val="0"/>
              <w:keepLines w:val="0"/>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r>
              <w:rPr>
                <w:rFonts w:hint="eastAsia" w:ascii="宋体" w:hAnsi="宋体" w:eastAsia="宋体" w:cs="宋体"/>
                <w:color w:val="auto"/>
                <w:sz w:val="24"/>
                <w:szCs w:val="24"/>
              </w:rPr>
              <w:t>未制定标准</w:t>
            </w:r>
          </w:p>
        </w:tc>
      </w:tr>
      <w:tr w14:paraId="55972DB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0486C9AF">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38A09A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侵入途径</w:t>
            </w:r>
          </w:p>
        </w:tc>
        <w:tc>
          <w:tcPr>
            <w:tcW w:w="5938" w:type="dxa"/>
            <w:gridSpan w:val="3"/>
            <w:noWrap w:val="0"/>
            <w:vAlign w:val="center"/>
          </w:tcPr>
          <w:p w14:paraId="551CE626">
            <w:pPr>
              <w:keepNext w:val="0"/>
              <w:keepLines w:val="0"/>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r>
              <w:rPr>
                <w:rFonts w:hint="eastAsia" w:ascii="宋体" w:hAnsi="宋体" w:eastAsia="宋体" w:cs="宋体"/>
                <w:color w:val="auto"/>
                <w:sz w:val="24"/>
                <w:szCs w:val="24"/>
              </w:rPr>
              <w:t>吸入、皮肤接触</w:t>
            </w:r>
          </w:p>
        </w:tc>
      </w:tr>
      <w:tr w14:paraId="28E00DD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2DDB2654">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6464BBA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急性毒性</w:t>
            </w:r>
          </w:p>
        </w:tc>
        <w:tc>
          <w:tcPr>
            <w:tcW w:w="5938" w:type="dxa"/>
            <w:gridSpan w:val="3"/>
            <w:noWrap w:val="0"/>
            <w:vAlign w:val="top"/>
          </w:tcPr>
          <w:p w14:paraId="48235714">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LD</w:t>
            </w:r>
            <w:r>
              <w:rPr>
                <w:rFonts w:hint="eastAsia" w:ascii="宋体" w:hAnsi="宋体" w:eastAsia="宋体" w:cs="宋体"/>
                <w:color w:val="auto"/>
                <w:sz w:val="24"/>
                <w:szCs w:val="24"/>
                <w:vertAlign w:val="subscript"/>
              </w:rPr>
              <w:t>50</w:t>
            </w:r>
            <w:r>
              <w:rPr>
                <w:rFonts w:hint="eastAsia" w:ascii="宋体" w:hAnsi="宋体" w:eastAsia="宋体" w:cs="宋体"/>
                <w:color w:val="auto"/>
                <w:sz w:val="24"/>
                <w:szCs w:val="24"/>
              </w:rPr>
              <w:t>：无资料</w:t>
            </w:r>
          </w:p>
          <w:p w14:paraId="17E85948">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LC</w:t>
            </w:r>
            <w:r>
              <w:rPr>
                <w:rFonts w:hint="eastAsia" w:ascii="宋体" w:hAnsi="宋体" w:eastAsia="宋体" w:cs="宋体"/>
                <w:color w:val="auto"/>
                <w:sz w:val="24"/>
                <w:szCs w:val="24"/>
                <w:vertAlign w:val="subscript"/>
              </w:rPr>
              <w:t>50</w:t>
            </w:r>
            <w:r>
              <w:rPr>
                <w:rFonts w:hint="eastAsia" w:ascii="宋体" w:hAnsi="宋体" w:eastAsia="宋体" w:cs="宋体"/>
                <w:color w:val="auto"/>
                <w:sz w:val="24"/>
                <w:szCs w:val="24"/>
              </w:rPr>
              <w:t>：无资料</w:t>
            </w:r>
          </w:p>
        </w:tc>
      </w:tr>
      <w:tr w14:paraId="5B2180D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6D3321B8">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04D83D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健康危害</w:t>
            </w:r>
          </w:p>
        </w:tc>
        <w:tc>
          <w:tcPr>
            <w:tcW w:w="5938" w:type="dxa"/>
            <w:gridSpan w:val="3"/>
            <w:noWrap w:val="0"/>
            <w:vAlign w:val="center"/>
          </w:tcPr>
          <w:p w14:paraId="0ACC23AE">
            <w:pPr>
              <w:keepNext w:val="0"/>
              <w:keepLines w:val="0"/>
              <w:suppressLineNumbers w:val="0"/>
              <w:spacing w:before="0" w:beforeAutospacing="0" w:after="0" w:afterAutospacing="0" w:line="300" w:lineRule="exact"/>
              <w:ind w:left="0" w:right="0"/>
              <w:rPr>
                <w:rFonts w:hint="eastAsia" w:ascii="宋体" w:hAnsi="宋体" w:eastAsia="宋体" w:cs="宋体"/>
                <w:b/>
                <w:color w:val="auto"/>
                <w:sz w:val="24"/>
                <w:szCs w:val="24"/>
              </w:rPr>
            </w:pPr>
            <w:r>
              <w:rPr>
                <w:rFonts w:hint="eastAsia" w:ascii="宋体" w:hAnsi="宋体" w:eastAsia="宋体" w:cs="宋体"/>
                <w:color w:val="auto"/>
                <w:sz w:val="24"/>
                <w:szCs w:val="24"/>
              </w:rPr>
              <w:t>甲烷对人基本无毒，但浓度过高时，使空气中氧含量明显降低，使人窒息。当空气中甲烷达25％～30％时，可引起头痛、头晕、乏力、注意力不集中、呼吸和心跳加速、共济失调。若不及时脱离，可致窒息死亡。皮肤接触液化本品，可致冻伤。</w:t>
            </w:r>
          </w:p>
        </w:tc>
      </w:tr>
      <w:tr w14:paraId="4E46A2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restart"/>
            <w:noWrap w:val="0"/>
            <w:vAlign w:val="center"/>
          </w:tcPr>
          <w:p w14:paraId="1145811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急救措施</w:t>
            </w:r>
          </w:p>
        </w:tc>
        <w:tc>
          <w:tcPr>
            <w:tcW w:w="1737" w:type="dxa"/>
            <w:noWrap w:val="0"/>
            <w:vAlign w:val="center"/>
          </w:tcPr>
          <w:p w14:paraId="1C99B88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皮肤接触</w:t>
            </w:r>
          </w:p>
        </w:tc>
        <w:tc>
          <w:tcPr>
            <w:tcW w:w="5938" w:type="dxa"/>
            <w:gridSpan w:val="3"/>
            <w:noWrap w:val="0"/>
            <w:vAlign w:val="center"/>
          </w:tcPr>
          <w:p w14:paraId="67C530B9">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若有冻伤，就医治疗</w:t>
            </w:r>
          </w:p>
        </w:tc>
      </w:tr>
      <w:tr w14:paraId="4C44956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51C409F0">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784FCA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眼睛接触</w:t>
            </w:r>
          </w:p>
        </w:tc>
        <w:tc>
          <w:tcPr>
            <w:tcW w:w="5938" w:type="dxa"/>
            <w:gridSpan w:val="3"/>
            <w:noWrap w:val="0"/>
            <w:vAlign w:val="center"/>
          </w:tcPr>
          <w:p w14:paraId="5E35D254">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3AA7E8A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030D413F">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2449872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吸入</w:t>
            </w:r>
          </w:p>
        </w:tc>
        <w:tc>
          <w:tcPr>
            <w:tcW w:w="5938" w:type="dxa"/>
            <w:gridSpan w:val="3"/>
            <w:noWrap w:val="0"/>
            <w:vAlign w:val="center"/>
          </w:tcPr>
          <w:p w14:paraId="7676F2E0">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迅速脱离现场至空气新鲜处。保持呼吸道通畅。如呼吸困难，给输氧。如呼吸停止，立即进行人工呼吸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就医</w:t>
            </w:r>
            <w:r>
              <w:rPr>
                <w:rFonts w:hint="eastAsia" w:ascii="宋体" w:hAnsi="宋体" w:eastAsia="宋体" w:cs="宋体"/>
                <w:color w:val="auto"/>
                <w:sz w:val="24"/>
                <w:szCs w:val="24"/>
                <w:lang w:val="en-US" w:eastAsia="zh-CN"/>
              </w:rPr>
              <w:t>。</w:t>
            </w:r>
          </w:p>
        </w:tc>
      </w:tr>
      <w:tr w14:paraId="418604B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vMerge w:val="continue"/>
            <w:noWrap w:val="0"/>
            <w:vAlign w:val="center"/>
          </w:tcPr>
          <w:p w14:paraId="646E54C6">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63F846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食入</w:t>
            </w:r>
          </w:p>
        </w:tc>
        <w:tc>
          <w:tcPr>
            <w:tcW w:w="5938" w:type="dxa"/>
            <w:gridSpan w:val="3"/>
            <w:noWrap w:val="0"/>
            <w:vAlign w:val="center"/>
          </w:tcPr>
          <w:p w14:paraId="6F54D8F3">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04CF8AB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noWrap w:val="0"/>
            <w:vAlign w:val="center"/>
          </w:tcPr>
          <w:p w14:paraId="709D844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应急处置原则</w:t>
            </w:r>
          </w:p>
        </w:tc>
        <w:tc>
          <w:tcPr>
            <w:tcW w:w="7675" w:type="dxa"/>
            <w:gridSpan w:val="4"/>
            <w:noWrap w:val="0"/>
            <w:vAlign w:val="center"/>
          </w:tcPr>
          <w:p w14:paraId="0B978F73">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急救措施</w:t>
            </w:r>
          </w:p>
          <w:p w14:paraId="30D9C763">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吸入：迅速脱离现场至空气新鲜处。保持呼吸道通畅。如呼吸困难，给氧。如呼吸停止，立即进行人工呼吸。就医。</w:t>
            </w:r>
          </w:p>
          <w:p w14:paraId="5204A66D">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皮肤接触：如果发生冻伤：将患部浸泡于保持在38～42℃的温水中复温。不要涂擦。不要使用热水或辐射热。使用清洁、干燥的敷料包扎。如有不适感，就医。</w:t>
            </w:r>
          </w:p>
          <w:p w14:paraId="45DD4A01">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灭火方法</w:t>
            </w:r>
          </w:p>
          <w:p w14:paraId="4BB844FB">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切断气源。若不能切断气源，则不允许熄灭泄漏处的火焰。喷水冷却容器，尽可能将容器从火场移至空旷处。</w:t>
            </w:r>
          </w:p>
          <w:p w14:paraId="63F8880E">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灭火剂：雾状水、泡沫、二氧化碳、干粉。</w:t>
            </w:r>
          </w:p>
          <w:p w14:paraId="321D1885">
            <w:pPr>
              <w:pStyle w:val="24"/>
              <w:keepNext w:val="0"/>
              <w:keepLines w:val="0"/>
              <w:suppressLineNumbers w:val="0"/>
              <w:spacing w:before="0" w:beforeAutospacing="0" w:after="0" w:afterAutospacing="0" w:line="300" w:lineRule="exact"/>
              <w:ind w:firstLine="422"/>
              <w:rPr>
                <w:rFonts w:hint="eastAsia" w:ascii="宋体" w:hAnsi="宋体" w:eastAsia="宋体" w:cs="宋体"/>
                <w:color w:val="auto"/>
                <w:sz w:val="24"/>
                <w:szCs w:val="24"/>
              </w:rPr>
            </w:pPr>
            <w:r>
              <w:rPr>
                <w:rFonts w:hint="eastAsia" w:ascii="宋体" w:hAnsi="宋体" w:eastAsia="宋体" w:cs="宋体"/>
                <w:color w:val="auto"/>
                <w:sz w:val="24"/>
                <w:szCs w:val="24"/>
              </w:rPr>
              <w:t>泄漏应急处置</w:t>
            </w:r>
          </w:p>
          <w:p w14:paraId="012625BB">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消除所有点火源。根据气体的影响区域划定警戒区，无关人员从侧风、上风向撤离至安全区。应急处理人员戴正压自给式空气呼吸器，穿防静电服。作业时使用的所有设备应接地。禁止接触或跨越泄漏物。尽可能切断泄漏源。若可能翻转容器，使之逸出气体而非液体。喷雾状水抑制蒸气或改变蒸气云流向，避免水流接触泄漏物。禁止用水直接冲击泄漏物或泄漏源。防止气体通过下水道、通风系统和密闭性空间扩散。隔离泄漏区直至气体散尽。</w:t>
            </w:r>
          </w:p>
          <w:p w14:paraId="5FF6DB2E">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Style w:val="62"/>
                <w:rFonts w:hint="eastAsia" w:ascii="宋体" w:hAnsi="宋体" w:eastAsia="宋体" w:cs="宋体"/>
                <w:color w:val="auto"/>
                <w:sz w:val="24"/>
                <w:szCs w:val="24"/>
              </w:rPr>
              <w:t>作为一项紧急预防措施，泄漏隔离距离至少为100m。如果为大量泄漏，下风向的初始疏散距离应至少为800m。</w:t>
            </w:r>
          </w:p>
        </w:tc>
      </w:tr>
      <w:tr w14:paraId="548796B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125" w:hRule="atLeast"/>
          <w:jc w:val="center"/>
        </w:trPr>
        <w:tc>
          <w:tcPr>
            <w:tcW w:w="1114" w:type="dxa"/>
            <w:noWrap w:val="0"/>
            <w:vAlign w:val="center"/>
          </w:tcPr>
          <w:p w14:paraId="4CB5D60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安全</w:t>
            </w:r>
          </w:p>
          <w:p w14:paraId="10BA7EB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措施</w:t>
            </w:r>
          </w:p>
        </w:tc>
        <w:tc>
          <w:tcPr>
            <w:tcW w:w="7675" w:type="dxa"/>
            <w:gridSpan w:val="4"/>
            <w:noWrap w:val="0"/>
            <w:vAlign w:val="center"/>
          </w:tcPr>
          <w:p w14:paraId="1DF66F8A">
            <w:pPr>
              <w:pStyle w:val="24"/>
              <w:keepNext w:val="0"/>
              <w:keepLines w:val="0"/>
              <w:suppressLineNumbers w:val="0"/>
              <w:spacing w:before="0" w:beforeAutospacing="0" w:after="0" w:afterAutospacing="0" w:line="300" w:lineRule="exact"/>
              <w:rPr>
                <w:rFonts w:hint="eastAsia" w:ascii="宋体" w:hAnsi="宋体" w:eastAsia="宋体" w:cs="宋体"/>
                <w:b/>
                <w:color w:val="auto"/>
                <w:sz w:val="24"/>
                <w:szCs w:val="24"/>
              </w:rPr>
            </w:pPr>
            <w:r>
              <w:rPr>
                <w:rFonts w:hint="eastAsia" w:ascii="宋体" w:hAnsi="宋体" w:eastAsia="宋体" w:cs="宋体"/>
                <w:color w:val="auto"/>
                <w:sz w:val="24"/>
                <w:szCs w:val="24"/>
              </w:rPr>
              <w:t>【一般要求】</w:t>
            </w:r>
          </w:p>
          <w:p w14:paraId="66995C50">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操作人员必须经过专门培训，严格遵守操作规程，熟练掌握操作技能，具备应急处置知识。</w:t>
            </w:r>
          </w:p>
          <w:p w14:paraId="4712538E">
            <w:pPr>
              <w:pStyle w:val="24"/>
              <w:keepNext w:val="0"/>
              <w:keepLines w:val="0"/>
              <w:suppressLineNumbers w:val="0"/>
              <w:spacing w:before="0" w:beforeAutospacing="0" w:after="0" w:afterAutospacing="0" w:line="300" w:lineRule="exact"/>
              <w:ind w:firstLine="422"/>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密闭操作，严防泄漏，工作场所全面通风，远离火种、热源，工作场所严禁吸烟。</w:t>
            </w:r>
          </w:p>
          <w:p w14:paraId="6F76D674">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在生产、使用、贮存场所设置可燃气体监测报警仪，使用防爆型的通风系统和设备，配备两套以上重型防护服。穿防静电工作服，必要时戴防护手套，接触高浓度时应戴化学安全防护眼镜，</w:t>
            </w:r>
            <w:r>
              <w:rPr>
                <w:rStyle w:val="62"/>
                <w:rFonts w:hint="eastAsia" w:ascii="宋体" w:hAnsi="宋体" w:eastAsia="宋体" w:cs="宋体"/>
                <w:color w:val="auto"/>
                <w:sz w:val="24"/>
                <w:szCs w:val="24"/>
                <w:lang w:eastAsia="zh-CN"/>
              </w:rPr>
              <w:t>佩戴</w:t>
            </w:r>
            <w:r>
              <w:rPr>
                <w:rStyle w:val="62"/>
                <w:rFonts w:hint="eastAsia" w:ascii="宋体" w:hAnsi="宋体" w:eastAsia="宋体" w:cs="宋体"/>
                <w:color w:val="auto"/>
                <w:sz w:val="24"/>
                <w:szCs w:val="24"/>
              </w:rPr>
              <w:t>供气式呼吸器。进入罐</w:t>
            </w:r>
            <w:r>
              <w:rPr>
                <w:rStyle w:val="62"/>
                <w:rFonts w:hint="eastAsia" w:ascii="宋体" w:hAnsi="宋体" w:eastAsia="宋体" w:cs="宋体"/>
                <w:color w:val="auto"/>
                <w:sz w:val="24"/>
                <w:szCs w:val="24"/>
                <w:lang w:eastAsia="zh-CN"/>
              </w:rPr>
              <w:t>或其他</w:t>
            </w:r>
            <w:r>
              <w:rPr>
                <w:rStyle w:val="62"/>
                <w:rFonts w:hint="eastAsia" w:ascii="宋体" w:hAnsi="宋体" w:eastAsia="宋体" w:cs="宋体"/>
                <w:color w:val="auto"/>
                <w:sz w:val="24"/>
                <w:szCs w:val="24"/>
              </w:rPr>
              <w:t>高浓度区作业，须有人监护。储罐等压力容器和设备应设置安全阀、压力表、液位计、温度计，并应装有带压力、液位、温度远传记录和报警功能的安全装置，重点储罐需设置紧急切断装置。</w:t>
            </w:r>
          </w:p>
          <w:p w14:paraId="2CF8CBA0">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避免与氧化剂接触。</w:t>
            </w:r>
          </w:p>
          <w:p w14:paraId="396F52EB">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生产、储存区域应设置安全警示标志。在传送过程中，容器必须接地和跨接，防止产生静电。配备相应品种和数量的消防器材及泄漏应急处理设备。</w:t>
            </w:r>
          </w:p>
          <w:p w14:paraId="5FC5D070">
            <w:pPr>
              <w:pStyle w:val="24"/>
              <w:keepNext w:val="0"/>
              <w:keepLines w:val="0"/>
              <w:suppressLineNumbers w:val="0"/>
              <w:spacing w:before="0" w:beforeAutospacing="0" w:after="0" w:afterAutospacing="0" w:line="300" w:lineRule="exact"/>
              <w:rPr>
                <w:rFonts w:hint="eastAsia" w:ascii="宋体" w:hAnsi="宋体" w:eastAsia="宋体" w:cs="宋体"/>
                <w:b/>
                <w:color w:val="auto"/>
                <w:sz w:val="24"/>
                <w:szCs w:val="24"/>
              </w:rPr>
            </w:pPr>
            <w:r>
              <w:rPr>
                <w:rFonts w:hint="eastAsia" w:ascii="宋体" w:hAnsi="宋体" w:eastAsia="宋体" w:cs="宋体"/>
                <w:color w:val="auto"/>
                <w:sz w:val="24"/>
                <w:szCs w:val="24"/>
              </w:rPr>
              <w:t>【特殊要求】</w:t>
            </w:r>
          </w:p>
          <w:p w14:paraId="76FF14ED">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【操作安全】</w:t>
            </w:r>
          </w:p>
          <w:p w14:paraId="5AC049FA">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1</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天然气系统运行时，不准敲击，不准带压修理和紧固，不得超压，严禁负压。</w:t>
            </w:r>
          </w:p>
          <w:p w14:paraId="1978A414">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2</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生产区域内，严禁明火和可能产生明火、火花的作业</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固定动火区必须距离生产区30m以上</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。生产需要或检修期间需动火时，必须办理动火审批手续。配气站严禁烟火，严禁堆放易燃物，站内应有良好的自然通风并应有事故排风装置。</w:t>
            </w:r>
          </w:p>
          <w:p w14:paraId="4FDDB0F4">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3</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天然气配气站中，不准独立进行操作。非操作人员未经许可，不准进入配气站。</w:t>
            </w:r>
          </w:p>
          <w:p w14:paraId="1DFBDB26">
            <w:pPr>
              <w:pStyle w:val="63"/>
              <w:keepNext w:val="0"/>
              <w:keepLines w:val="0"/>
              <w:widowControl w:val="0"/>
              <w:suppressLineNumbers w:val="0"/>
              <w:spacing w:before="0" w:beforeAutospacing="0" w:after="0" w:afterAutospacing="0" w:line="300" w:lineRule="exact"/>
              <w:ind w:left="0" w:right="0"/>
              <w:jc w:val="both"/>
              <w:rPr>
                <w:rFonts w:hint="eastAsia" w:ascii="宋体" w:hAnsi="宋体" w:eastAsia="宋体" w:cs="宋体"/>
                <w:b/>
                <w:color w:val="auto"/>
                <w:sz w:val="24"/>
                <w:szCs w:val="24"/>
              </w:rPr>
            </w:pPr>
            <w:r>
              <w:rPr>
                <w:rFonts w:hint="eastAsia" w:ascii="宋体" w:hAnsi="宋体" w:eastAsia="宋体" w:cs="宋体"/>
                <w:color w:val="auto"/>
                <w:sz w:val="24"/>
                <w:szCs w:val="24"/>
              </w:rPr>
              <w:t>【储存安全】</w:t>
            </w:r>
          </w:p>
          <w:p w14:paraId="3E2C1A10">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1</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储存于阴凉、通风的易燃气体专用库房。远离火种、热源。库房温度不宜超过30℃。</w:t>
            </w:r>
          </w:p>
          <w:p w14:paraId="7847E266">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2</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应与氧化剂等分开存放，切忌混储。采用防爆型照明、通风设施。禁止使用易产生火花的机械设备和工具。储存区应备有泄漏应急处理设备。</w:t>
            </w:r>
          </w:p>
          <w:p w14:paraId="3B89BA42">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3</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天然气储气站中：</w:t>
            </w:r>
          </w:p>
          <w:p w14:paraId="6553F6D0">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——与相邻居民点、工矿企业和其他公用设施安全距离及站场内的平面布置，应符合国家现行标准；</w:t>
            </w:r>
          </w:p>
          <w:p w14:paraId="098A8BA3">
            <w:pPr>
              <w:pStyle w:val="24"/>
              <w:keepNext w:val="0"/>
              <w:keepLines w:val="0"/>
              <w:suppressLineNumbers w:val="0"/>
              <w:spacing w:before="0" w:beforeAutospacing="0" w:after="0" w:afterAutospacing="0" w:line="300" w:lineRule="exact"/>
              <w:ind w:firstLine="42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——天然气储气站内建</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构</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筑物应配置灭火器，其配置类型和数量应符合建筑灭火器配置的相关规定；</w:t>
            </w:r>
          </w:p>
          <w:p w14:paraId="6CF38C94">
            <w:pPr>
              <w:keepNext w:val="0"/>
              <w:keepLines w:val="0"/>
              <w:suppressLineNumbers w:val="0"/>
              <w:spacing w:before="0" w:beforeAutospacing="0" w:after="0" w:afterAutospacing="0" w:line="300" w:lineRule="exact"/>
              <w:ind w:left="0" w:right="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——注意防雷、防静电，应按《建筑物防雷设计规范》</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GB 50057</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的规定设置防雷设施，工艺管网、设备、自动控制仪表系统应按标准安装防雷、防静电接地设施，并定期进行检查和检测。</w:t>
            </w:r>
          </w:p>
          <w:p w14:paraId="12BCC8FB">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【运输安全】</w:t>
            </w:r>
          </w:p>
          <w:p w14:paraId="11D62FE0">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1</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运输车辆应有危险货物运输标志、安装具有行驶记录功能的卫星定位装置。未经公安机关批准，运输车辆不得进入危险化学品运输车辆限制通行的区域。</w:t>
            </w:r>
          </w:p>
          <w:p w14:paraId="0F87CFF1">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2</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槽车和运输卡车要有导静电拖线；槽车上要备有2只以上干粉或二氧化碳灭火器和防爆工具。</w:t>
            </w:r>
          </w:p>
          <w:p w14:paraId="6E96F161">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3</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车辆运输钢瓶时</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瓶口一律朝向车辆行驶方向的右方，堆放高度不得超过车辆的防护栏板，并用三角木垫卡牢，防止滚动。不准同车混装有抵触性质的物品和让无关人员搭车。运输途中远离火种，不准在有明火地点或人多地段停车，停车时要有人看管。发生泄漏或火灾时要把车开到安全地方进行灭火或堵漏。</w:t>
            </w:r>
          </w:p>
          <w:p w14:paraId="371F353C">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lang w:val="en-US" w:eastAsia="zh-CN"/>
              </w:rPr>
              <w:t>4</w:t>
            </w:r>
            <w:r>
              <w:rPr>
                <w:rStyle w:val="62"/>
                <w:rFonts w:hint="eastAsia" w:ascii="宋体" w:hAnsi="宋体" w:eastAsia="宋体" w:cs="宋体"/>
                <w:color w:val="auto"/>
                <w:sz w:val="24"/>
                <w:szCs w:val="24"/>
                <w:lang w:eastAsia="zh-CN"/>
              </w:rPr>
              <w:t>）</w:t>
            </w:r>
            <w:r>
              <w:rPr>
                <w:rStyle w:val="62"/>
                <w:rFonts w:hint="eastAsia" w:ascii="宋体" w:hAnsi="宋体" w:eastAsia="宋体" w:cs="宋体"/>
                <w:color w:val="auto"/>
                <w:sz w:val="24"/>
                <w:szCs w:val="24"/>
              </w:rPr>
              <w:t>采用管道输送时：</w:t>
            </w:r>
          </w:p>
          <w:p w14:paraId="0368A6A1">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——输气管道不应通过城市水源地、飞机场、军事设施、车站、码头。因条件限制无法避开时，应采取措施并经国家有关部门批准；</w:t>
            </w:r>
          </w:p>
          <w:p w14:paraId="7E044184">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——输气管道沿线应设置里程桩、转角桩、标志桩和测试桩；</w:t>
            </w:r>
          </w:p>
          <w:p w14:paraId="06DC95F8">
            <w:pPr>
              <w:pStyle w:val="24"/>
              <w:keepNext w:val="0"/>
              <w:keepLines w:val="0"/>
              <w:suppressLineNumbers w:val="0"/>
              <w:spacing w:before="0" w:beforeAutospacing="0" w:after="0" w:afterAutospacing="0" w:line="300" w:lineRule="exact"/>
              <w:ind w:firstLine="494" w:firstLineChars="200"/>
              <w:rPr>
                <w:rStyle w:val="62"/>
                <w:rFonts w:hint="eastAsia" w:ascii="宋体" w:hAnsi="宋体" w:eastAsia="宋体" w:cs="宋体"/>
                <w:color w:val="auto"/>
                <w:sz w:val="24"/>
                <w:szCs w:val="24"/>
              </w:rPr>
            </w:pPr>
            <w:r>
              <w:rPr>
                <w:rStyle w:val="62"/>
                <w:rFonts w:hint="eastAsia" w:ascii="宋体" w:hAnsi="宋体" w:eastAsia="宋体" w:cs="宋体"/>
                <w:color w:val="auto"/>
                <w:sz w:val="24"/>
                <w:szCs w:val="24"/>
              </w:rPr>
              <w:t>——输气管道采用地上敷设时，应在人员活动较多和易遭车辆、外来物撞击的地段，采取保护措施并设置明显的警示标志；</w:t>
            </w:r>
          </w:p>
          <w:p w14:paraId="40FA3CE0">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Style w:val="62"/>
                <w:rFonts w:hint="eastAsia" w:ascii="宋体" w:hAnsi="宋体" w:eastAsia="宋体" w:cs="宋体"/>
                <w:color w:val="auto"/>
                <w:sz w:val="24"/>
                <w:szCs w:val="24"/>
              </w:rPr>
              <w:t>——输气管道管理单位应设专人定期对管道进行巡线检查，及时处理输气管道沿线的异常情况，并依据天然气管道保护的有关法律法规保护管道。</w:t>
            </w:r>
          </w:p>
        </w:tc>
      </w:tr>
      <w:tr w14:paraId="236952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0" w:hRule="atLeast"/>
          <w:jc w:val="center"/>
        </w:trPr>
        <w:tc>
          <w:tcPr>
            <w:tcW w:w="1114" w:type="dxa"/>
            <w:noWrap w:val="0"/>
            <w:vAlign w:val="center"/>
          </w:tcPr>
          <w:p w14:paraId="2108900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防护</w:t>
            </w:r>
          </w:p>
          <w:p w14:paraId="525CDD3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措施</w:t>
            </w:r>
          </w:p>
        </w:tc>
        <w:tc>
          <w:tcPr>
            <w:tcW w:w="7675" w:type="dxa"/>
            <w:gridSpan w:val="4"/>
            <w:noWrap w:val="0"/>
            <w:vAlign w:val="center"/>
          </w:tcPr>
          <w:p w14:paraId="752BB22D">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工程控制：</w:t>
            </w:r>
            <w:r>
              <w:rPr>
                <w:rFonts w:hint="eastAsia" w:ascii="宋体" w:hAnsi="宋体" w:eastAsia="宋体" w:cs="宋体"/>
                <w:color w:val="auto"/>
                <w:sz w:val="24"/>
                <w:szCs w:val="24"/>
                <w:lang w:eastAsia="zh-CN"/>
              </w:rPr>
              <w:t>生产经营过程</w:t>
            </w:r>
            <w:r>
              <w:rPr>
                <w:rFonts w:hint="eastAsia" w:ascii="宋体" w:hAnsi="宋体" w:eastAsia="宋体" w:cs="宋体"/>
                <w:color w:val="auto"/>
                <w:sz w:val="24"/>
                <w:szCs w:val="24"/>
              </w:rPr>
              <w:t>密闭，全面通风。</w:t>
            </w:r>
          </w:p>
          <w:p w14:paraId="2FCE99B7">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呼吸系统防护：一般不需要特殊防护，但建议特殊情况下，佩戴自吸过滤式防毒面具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半面罩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45ACC370">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眼睛防护：一般不需要特殊防护，高浓度接触时可戴防护眼镜</w:t>
            </w:r>
            <w:r>
              <w:rPr>
                <w:rFonts w:hint="eastAsia" w:ascii="宋体" w:hAnsi="宋体" w:eastAsia="宋体" w:cs="宋体"/>
                <w:color w:val="auto"/>
                <w:sz w:val="24"/>
                <w:szCs w:val="24"/>
                <w:lang w:eastAsia="zh-CN"/>
              </w:rPr>
              <w:t>。</w:t>
            </w:r>
          </w:p>
          <w:p w14:paraId="0FD44F12">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身体防护：穿防静电工作服。</w:t>
            </w:r>
          </w:p>
          <w:p w14:paraId="452F379C">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手防护：戴一般作业防护手套</w:t>
            </w:r>
          </w:p>
          <w:p w14:paraId="3286E33E">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其他防护：工作现场严禁吸烟。避免长期反复接触。进入罐、限制性空间</w:t>
            </w:r>
            <w:r>
              <w:rPr>
                <w:rFonts w:hint="eastAsia" w:ascii="宋体" w:hAnsi="宋体" w:eastAsia="宋体" w:cs="宋体"/>
                <w:color w:val="auto"/>
                <w:sz w:val="24"/>
                <w:szCs w:val="24"/>
                <w:lang w:eastAsia="zh-CN"/>
              </w:rPr>
              <w:t>或其他</w:t>
            </w:r>
            <w:r>
              <w:rPr>
                <w:rFonts w:hint="eastAsia" w:ascii="宋体" w:hAnsi="宋体" w:eastAsia="宋体" w:cs="宋体"/>
                <w:color w:val="auto"/>
                <w:sz w:val="24"/>
                <w:szCs w:val="24"/>
              </w:rPr>
              <w:t>高浓度区作业，须有人监护</w:t>
            </w:r>
          </w:p>
        </w:tc>
      </w:tr>
    </w:tbl>
    <w:p w14:paraId="2D97DDCB">
      <w:pPr>
        <w:ind w:firstLine="0" w:firstLineChars="0"/>
        <w:jc w:val="center"/>
        <w:outlineLvl w:val="4"/>
        <w:rPr>
          <w:rFonts w:hint="eastAsia" w:ascii="宋体" w:hAnsi="宋体" w:eastAsia="宋体" w:cs="宋体"/>
          <w:b/>
          <w:bCs/>
          <w:color w:val="auto"/>
          <w:sz w:val="28"/>
          <w:szCs w:val="28"/>
        </w:rPr>
      </w:pPr>
      <w:r>
        <w:rPr>
          <w:rFonts w:hint="eastAsia" w:ascii="宋体" w:hAnsi="宋体" w:eastAsia="宋体" w:cs="宋体"/>
          <w:b/>
          <w:bCs/>
          <w:color w:val="auto"/>
          <w:sz w:val="28"/>
          <w:szCs w:val="28"/>
          <w:lang w:eastAsia="zh-CN"/>
        </w:rPr>
        <w:t>柴油</w:t>
      </w:r>
      <w:r>
        <w:rPr>
          <w:rFonts w:hint="eastAsia" w:ascii="宋体" w:hAnsi="宋体" w:eastAsia="宋体" w:cs="宋体"/>
          <w:b/>
          <w:bCs/>
          <w:color w:val="auto"/>
          <w:sz w:val="28"/>
          <w:szCs w:val="28"/>
        </w:rPr>
        <w:t>理化特性及危害特性表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4"/>
        <w:gridCol w:w="2779"/>
        <w:gridCol w:w="2048"/>
        <w:gridCol w:w="1562"/>
        <w:gridCol w:w="1558"/>
      </w:tblGrid>
      <w:tr w14:paraId="16B26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6AA754AA">
            <w:pPr>
              <w:pStyle w:val="20"/>
              <w:pBdr>
                <w:bottom w:val="none" w:color="auto" w:sz="0" w:space="0"/>
              </w:pBdr>
              <w:tabs>
                <w:tab w:val="clear" w:pos="4153"/>
                <w:tab w:val="clear" w:pos="8306"/>
              </w:tabs>
              <w:snapToGrid/>
              <w:spacing w:line="300" w:lineRule="exact"/>
              <w:ind w:left="0" w:leftChars="0" w:firstLine="0" w:firstLineChars="0"/>
              <w:jc w:val="center"/>
              <w:rPr>
                <w:rFonts w:hint="eastAsia" w:ascii="宋体" w:hAnsi="宋体" w:eastAsia="宋体" w:cs="宋体"/>
                <w:dstrike/>
                <w:sz w:val="24"/>
                <w:szCs w:val="24"/>
              </w:rPr>
            </w:pPr>
            <w:r>
              <w:rPr>
                <w:rFonts w:hint="eastAsia" w:ascii="宋体" w:hAnsi="宋体" w:eastAsia="宋体" w:cs="宋体"/>
                <w:sz w:val="24"/>
                <w:szCs w:val="24"/>
              </w:rPr>
              <w:t>标识</w:t>
            </w:r>
          </w:p>
        </w:tc>
        <w:tc>
          <w:tcPr>
            <w:tcW w:w="4333" w:type="dxa"/>
            <w:gridSpan w:val="2"/>
            <w:noWrap w:val="0"/>
            <w:vAlign w:val="center"/>
          </w:tcPr>
          <w:p w14:paraId="5DAB5D84">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中文名：柴油</w:t>
            </w:r>
          </w:p>
        </w:tc>
        <w:tc>
          <w:tcPr>
            <w:tcW w:w="0" w:type="auto"/>
            <w:gridSpan w:val="2"/>
            <w:noWrap w:val="0"/>
            <w:vAlign w:val="center"/>
          </w:tcPr>
          <w:p w14:paraId="6260576E">
            <w:pPr>
              <w:spacing w:line="300" w:lineRule="exact"/>
              <w:ind w:left="0" w:leftChars="0" w:firstLine="0" w:firstLineChars="0"/>
              <w:jc w:val="center"/>
              <w:rPr>
                <w:rFonts w:hint="eastAsia" w:ascii="宋体" w:hAnsi="宋体" w:eastAsia="宋体" w:cs="宋体"/>
                <w:sz w:val="24"/>
                <w:szCs w:val="24"/>
                <w:lang w:val="de-DE"/>
              </w:rPr>
            </w:pPr>
            <w:r>
              <w:rPr>
                <w:rFonts w:hint="eastAsia" w:ascii="宋体" w:hAnsi="宋体" w:eastAsia="宋体" w:cs="宋体"/>
                <w:sz w:val="24"/>
                <w:szCs w:val="24"/>
              </w:rPr>
              <w:t>英文名</w:t>
            </w:r>
            <w:r>
              <w:rPr>
                <w:rFonts w:hint="eastAsia" w:ascii="宋体" w:hAnsi="宋体" w:eastAsia="宋体" w:cs="宋体"/>
                <w:sz w:val="24"/>
                <w:szCs w:val="24"/>
                <w:lang w:val="de-DE"/>
              </w:rPr>
              <w:t>：Diesel oil;</w:t>
            </w:r>
          </w:p>
          <w:p w14:paraId="37401715">
            <w:pPr>
              <w:spacing w:line="300" w:lineRule="exact"/>
              <w:ind w:left="0" w:leftChars="0" w:firstLine="0" w:firstLineChars="0"/>
              <w:jc w:val="center"/>
              <w:rPr>
                <w:rFonts w:hint="eastAsia" w:ascii="宋体" w:hAnsi="宋体" w:eastAsia="宋体" w:cs="宋体"/>
                <w:sz w:val="24"/>
                <w:szCs w:val="24"/>
                <w:lang w:val="de-DE"/>
              </w:rPr>
            </w:pPr>
            <w:r>
              <w:rPr>
                <w:rFonts w:hint="eastAsia" w:ascii="宋体" w:hAnsi="宋体" w:eastAsia="宋体" w:cs="宋体"/>
                <w:sz w:val="24"/>
                <w:szCs w:val="24"/>
                <w:lang w:val="de-DE"/>
              </w:rPr>
              <w:t>Diesel fuel</w:t>
            </w:r>
            <w:r>
              <w:rPr>
                <w:rFonts w:hint="eastAsia" w:ascii="宋体" w:hAnsi="宋体" w:eastAsia="宋体" w:cs="宋体"/>
                <w:sz w:val="24"/>
                <w:szCs w:val="24"/>
              </w:rPr>
              <w:t>。</w:t>
            </w:r>
          </w:p>
        </w:tc>
      </w:tr>
      <w:tr w14:paraId="6B55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4D7D34BC">
            <w:pPr>
              <w:spacing w:line="300" w:lineRule="exact"/>
              <w:jc w:val="center"/>
              <w:rPr>
                <w:rFonts w:hint="eastAsia" w:ascii="宋体" w:hAnsi="宋体" w:eastAsia="宋体" w:cs="宋体"/>
                <w:sz w:val="24"/>
                <w:szCs w:val="24"/>
                <w:lang w:val="de-DE"/>
              </w:rPr>
            </w:pPr>
          </w:p>
        </w:tc>
        <w:tc>
          <w:tcPr>
            <w:tcW w:w="4333" w:type="dxa"/>
            <w:gridSpan w:val="2"/>
            <w:noWrap w:val="0"/>
            <w:vAlign w:val="center"/>
          </w:tcPr>
          <w:p w14:paraId="6F9D69B4">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分子式：</w:t>
            </w:r>
          </w:p>
        </w:tc>
        <w:tc>
          <w:tcPr>
            <w:tcW w:w="0" w:type="auto"/>
            <w:gridSpan w:val="2"/>
            <w:noWrap w:val="0"/>
            <w:vAlign w:val="center"/>
          </w:tcPr>
          <w:p w14:paraId="37EF5017">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CAS号：68334-30-5</w:t>
            </w:r>
          </w:p>
        </w:tc>
      </w:tr>
      <w:tr w14:paraId="02D2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18942E38">
            <w:pPr>
              <w:spacing w:line="300" w:lineRule="exact"/>
              <w:jc w:val="center"/>
              <w:rPr>
                <w:rFonts w:hint="eastAsia" w:ascii="宋体" w:hAnsi="宋体" w:eastAsia="宋体" w:cs="宋体"/>
                <w:sz w:val="24"/>
                <w:szCs w:val="24"/>
              </w:rPr>
            </w:pPr>
          </w:p>
        </w:tc>
        <w:tc>
          <w:tcPr>
            <w:tcW w:w="4333" w:type="dxa"/>
            <w:gridSpan w:val="2"/>
            <w:noWrap w:val="0"/>
            <w:vAlign w:val="center"/>
          </w:tcPr>
          <w:p w14:paraId="0828500B">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分子量：</w:t>
            </w:r>
          </w:p>
        </w:tc>
        <w:tc>
          <w:tcPr>
            <w:tcW w:w="0" w:type="auto"/>
            <w:gridSpan w:val="2"/>
            <w:noWrap w:val="0"/>
            <w:vAlign w:val="center"/>
          </w:tcPr>
          <w:p w14:paraId="662C9D0C">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化学类别</w:t>
            </w:r>
            <w:r>
              <w:rPr>
                <w:rFonts w:hint="eastAsia" w:ascii="宋体" w:hAnsi="宋体" w:eastAsia="宋体" w:cs="宋体"/>
                <w:b/>
                <w:bCs/>
                <w:sz w:val="24"/>
                <w:szCs w:val="24"/>
              </w:rPr>
              <w:t>：</w:t>
            </w:r>
            <w:r>
              <w:rPr>
                <w:rFonts w:hint="eastAsia" w:ascii="宋体" w:hAnsi="宋体" w:eastAsia="宋体" w:cs="宋体"/>
                <w:sz w:val="24"/>
                <w:szCs w:val="24"/>
              </w:rPr>
              <w:t>烷烃</w:t>
            </w:r>
          </w:p>
        </w:tc>
      </w:tr>
      <w:tr w14:paraId="0595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7D15669D">
            <w:pPr>
              <w:pStyle w:val="20"/>
              <w:pBdr>
                <w:bottom w:val="none" w:color="auto" w:sz="0" w:space="0"/>
              </w:pBdr>
              <w:tabs>
                <w:tab w:val="clear" w:pos="4153"/>
                <w:tab w:val="clear" w:pos="8306"/>
              </w:tabs>
              <w:snapToGrid/>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主要组成与性状</w:t>
            </w:r>
          </w:p>
        </w:tc>
        <w:tc>
          <w:tcPr>
            <w:tcW w:w="7947" w:type="dxa"/>
            <w:gridSpan w:val="4"/>
            <w:noWrap w:val="0"/>
            <w:vAlign w:val="center"/>
          </w:tcPr>
          <w:p w14:paraId="5D22E49C">
            <w:pPr>
              <w:spacing w:line="300" w:lineRule="exact"/>
              <w:rPr>
                <w:rFonts w:hint="eastAsia" w:ascii="宋体" w:hAnsi="宋体" w:eastAsia="宋体" w:cs="宋体"/>
                <w:sz w:val="24"/>
                <w:szCs w:val="24"/>
              </w:rPr>
            </w:pPr>
            <w:r>
              <w:rPr>
                <w:rFonts w:hint="eastAsia" w:ascii="宋体" w:hAnsi="宋体" w:eastAsia="宋体" w:cs="宋体"/>
                <w:sz w:val="24"/>
                <w:szCs w:val="24"/>
              </w:rPr>
              <w:t>主要成分：烷烃、烯烃、环烷烃、芳香烃、多环芳烃与少量硫（2～60g/kg）、氮（&lt;1g/kg）及添加剂组成的混合物。</w:t>
            </w:r>
          </w:p>
        </w:tc>
      </w:tr>
      <w:tr w14:paraId="3C83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489489E7">
            <w:pPr>
              <w:pStyle w:val="20"/>
              <w:pBdr>
                <w:bottom w:val="none" w:color="auto" w:sz="0" w:space="0"/>
              </w:pBdr>
              <w:tabs>
                <w:tab w:val="clear" w:pos="4153"/>
                <w:tab w:val="clear" w:pos="8306"/>
              </w:tabs>
              <w:snapToGrid/>
              <w:spacing w:line="300" w:lineRule="exact"/>
              <w:jc w:val="center"/>
              <w:rPr>
                <w:rFonts w:hint="eastAsia" w:ascii="宋体" w:hAnsi="宋体" w:eastAsia="宋体" w:cs="宋体"/>
                <w:sz w:val="24"/>
                <w:szCs w:val="24"/>
              </w:rPr>
            </w:pPr>
          </w:p>
        </w:tc>
        <w:tc>
          <w:tcPr>
            <w:tcW w:w="7947" w:type="dxa"/>
            <w:gridSpan w:val="4"/>
            <w:noWrap w:val="0"/>
            <w:vAlign w:val="center"/>
          </w:tcPr>
          <w:p w14:paraId="2643A144">
            <w:pPr>
              <w:spacing w:line="300" w:lineRule="exact"/>
              <w:rPr>
                <w:rFonts w:hint="eastAsia" w:ascii="宋体" w:hAnsi="宋体" w:eastAsia="宋体" w:cs="宋体"/>
                <w:sz w:val="24"/>
                <w:szCs w:val="24"/>
              </w:rPr>
            </w:pPr>
            <w:r>
              <w:rPr>
                <w:rFonts w:hint="eastAsia" w:ascii="宋体" w:hAnsi="宋体" w:eastAsia="宋体" w:cs="宋体"/>
                <w:sz w:val="24"/>
                <w:szCs w:val="24"/>
              </w:rPr>
              <w:t>外观与性状：稍有粘性的棕色液体。</w:t>
            </w:r>
          </w:p>
        </w:tc>
      </w:tr>
      <w:tr w14:paraId="28DF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3D278640">
            <w:pPr>
              <w:pStyle w:val="20"/>
              <w:pBdr>
                <w:bottom w:val="none" w:color="auto" w:sz="0" w:space="0"/>
              </w:pBdr>
              <w:tabs>
                <w:tab w:val="clear" w:pos="4153"/>
                <w:tab w:val="clear" w:pos="8306"/>
              </w:tabs>
              <w:snapToGrid/>
              <w:spacing w:line="300" w:lineRule="exact"/>
              <w:jc w:val="center"/>
              <w:rPr>
                <w:rFonts w:hint="eastAsia" w:ascii="宋体" w:hAnsi="宋体" w:eastAsia="宋体" w:cs="宋体"/>
                <w:sz w:val="24"/>
                <w:szCs w:val="24"/>
              </w:rPr>
            </w:pPr>
          </w:p>
        </w:tc>
        <w:tc>
          <w:tcPr>
            <w:tcW w:w="7947" w:type="dxa"/>
            <w:gridSpan w:val="4"/>
            <w:noWrap w:val="0"/>
            <w:vAlign w:val="center"/>
          </w:tcPr>
          <w:p w14:paraId="7B1B488C">
            <w:pPr>
              <w:spacing w:line="300" w:lineRule="exact"/>
              <w:rPr>
                <w:rFonts w:hint="eastAsia" w:ascii="宋体" w:hAnsi="宋体" w:eastAsia="宋体" w:cs="宋体"/>
                <w:sz w:val="24"/>
                <w:szCs w:val="24"/>
              </w:rPr>
            </w:pPr>
            <w:r>
              <w:rPr>
                <w:rFonts w:hint="eastAsia" w:ascii="宋体" w:hAnsi="宋体" w:eastAsia="宋体" w:cs="宋体"/>
                <w:sz w:val="24"/>
                <w:szCs w:val="24"/>
              </w:rPr>
              <w:t>主要用途：用作柴油机染料。</w:t>
            </w:r>
          </w:p>
        </w:tc>
      </w:tr>
      <w:tr w14:paraId="7E5F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351124D5">
            <w:pPr>
              <w:pStyle w:val="20"/>
              <w:pBdr>
                <w:bottom w:val="none" w:color="auto" w:sz="0" w:space="0"/>
              </w:pBdr>
              <w:tabs>
                <w:tab w:val="clear" w:pos="4153"/>
                <w:tab w:val="clear" w:pos="8306"/>
              </w:tabs>
              <w:snapToGrid/>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健康危害</w:t>
            </w:r>
          </w:p>
        </w:tc>
        <w:tc>
          <w:tcPr>
            <w:tcW w:w="7947" w:type="dxa"/>
            <w:gridSpan w:val="4"/>
            <w:noWrap w:val="0"/>
            <w:vAlign w:val="center"/>
          </w:tcPr>
          <w:p w14:paraId="1A356EB0">
            <w:pPr>
              <w:spacing w:line="300" w:lineRule="exact"/>
              <w:rPr>
                <w:rFonts w:hint="eastAsia" w:ascii="宋体" w:hAnsi="宋体" w:eastAsia="宋体" w:cs="宋体"/>
                <w:sz w:val="24"/>
                <w:szCs w:val="24"/>
              </w:rPr>
            </w:pPr>
            <w:r>
              <w:rPr>
                <w:rFonts w:hint="eastAsia" w:ascii="宋体" w:hAnsi="宋体" w:eastAsia="宋体" w:cs="宋体"/>
                <w:sz w:val="24"/>
                <w:szCs w:val="24"/>
              </w:rPr>
              <w:t>侵入途径：吸入、食入、经皮吸收。</w:t>
            </w:r>
          </w:p>
        </w:tc>
      </w:tr>
      <w:tr w14:paraId="699C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1542D535">
            <w:pPr>
              <w:pStyle w:val="20"/>
              <w:pBdr>
                <w:bottom w:val="none" w:color="auto" w:sz="0" w:space="0"/>
              </w:pBdr>
              <w:tabs>
                <w:tab w:val="clear" w:pos="4153"/>
                <w:tab w:val="clear" w:pos="8306"/>
              </w:tabs>
              <w:snapToGrid/>
              <w:spacing w:line="300" w:lineRule="exact"/>
              <w:jc w:val="center"/>
              <w:rPr>
                <w:rFonts w:hint="eastAsia" w:ascii="宋体" w:hAnsi="宋体" w:eastAsia="宋体" w:cs="宋体"/>
                <w:sz w:val="24"/>
                <w:szCs w:val="24"/>
              </w:rPr>
            </w:pPr>
          </w:p>
        </w:tc>
        <w:tc>
          <w:tcPr>
            <w:tcW w:w="7947" w:type="dxa"/>
            <w:gridSpan w:val="4"/>
            <w:noWrap w:val="0"/>
            <w:vAlign w:val="center"/>
          </w:tcPr>
          <w:p w14:paraId="65791A77">
            <w:pPr>
              <w:spacing w:line="300" w:lineRule="exact"/>
              <w:rPr>
                <w:rFonts w:hint="eastAsia" w:ascii="宋体" w:hAnsi="宋体" w:eastAsia="宋体" w:cs="宋体"/>
                <w:sz w:val="24"/>
                <w:szCs w:val="24"/>
              </w:rPr>
            </w:pPr>
            <w:r>
              <w:rPr>
                <w:rFonts w:hint="eastAsia" w:ascii="宋体" w:hAnsi="宋体" w:eastAsia="宋体" w:cs="宋体"/>
                <w:sz w:val="24"/>
                <w:szCs w:val="24"/>
              </w:rPr>
              <w:t>健康危害：</w:t>
            </w:r>
            <w:r>
              <w:rPr>
                <w:rFonts w:hint="eastAsia" w:ascii="宋体" w:hAnsi="宋体" w:eastAsia="宋体" w:cs="宋体"/>
                <w:kern w:val="0"/>
                <w:sz w:val="24"/>
                <w:szCs w:val="24"/>
              </w:rPr>
              <w:t>皮肤接触可为主要吸收途径，可致急性贤脏损害。柴油可引起接触性皮炎。吸入其雾或液体呛入可引起吸入性肺炎。能经胎盘进入胎儿血中。柴油废气可引起眼、鼻刺激症状，头晕及头痛。</w:t>
            </w:r>
          </w:p>
        </w:tc>
      </w:tr>
      <w:tr w14:paraId="34A0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3C07B21A">
            <w:pPr>
              <w:pStyle w:val="20"/>
              <w:pBdr>
                <w:bottom w:val="none" w:color="auto" w:sz="0" w:space="0"/>
              </w:pBdr>
              <w:tabs>
                <w:tab w:val="clear" w:pos="4153"/>
                <w:tab w:val="clear" w:pos="8306"/>
              </w:tabs>
              <w:snapToGrid/>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急救措施</w:t>
            </w:r>
          </w:p>
        </w:tc>
        <w:tc>
          <w:tcPr>
            <w:tcW w:w="7947" w:type="dxa"/>
            <w:gridSpan w:val="4"/>
            <w:noWrap w:val="0"/>
            <w:vAlign w:val="top"/>
          </w:tcPr>
          <w:p w14:paraId="7911D378">
            <w:pPr>
              <w:spacing w:line="300" w:lineRule="exact"/>
              <w:rPr>
                <w:rFonts w:hint="eastAsia" w:ascii="宋体" w:hAnsi="宋体" w:eastAsia="宋体" w:cs="宋体"/>
                <w:sz w:val="24"/>
                <w:szCs w:val="24"/>
              </w:rPr>
            </w:pPr>
            <w:r>
              <w:rPr>
                <w:rFonts w:hint="eastAsia" w:ascii="宋体" w:hAnsi="宋体" w:eastAsia="宋体" w:cs="宋体"/>
                <w:sz w:val="24"/>
                <w:szCs w:val="24"/>
              </w:rPr>
              <w:t>皮肤接触：立即脱去被污染的衣着，用肥皂水或清水彻底冲洗皮肤。就医。</w:t>
            </w:r>
          </w:p>
          <w:p w14:paraId="6EF8B70F">
            <w:pPr>
              <w:spacing w:line="300" w:lineRule="exact"/>
              <w:rPr>
                <w:rFonts w:hint="eastAsia" w:ascii="宋体" w:hAnsi="宋体" w:eastAsia="宋体" w:cs="宋体"/>
                <w:sz w:val="24"/>
                <w:szCs w:val="24"/>
              </w:rPr>
            </w:pPr>
            <w:r>
              <w:rPr>
                <w:rFonts w:hint="eastAsia" w:ascii="宋体" w:hAnsi="宋体" w:eastAsia="宋体" w:cs="宋体"/>
                <w:sz w:val="24"/>
                <w:szCs w:val="24"/>
              </w:rPr>
              <w:t>眼睛接触：立即提起眼睑，用大量流动清水或生理盐水彻底冲洗至少15分钟。就医。</w:t>
            </w:r>
          </w:p>
          <w:p w14:paraId="22F4B3DB">
            <w:pPr>
              <w:spacing w:line="300" w:lineRule="exact"/>
              <w:rPr>
                <w:rFonts w:hint="eastAsia" w:ascii="宋体" w:hAnsi="宋体" w:eastAsia="宋体" w:cs="宋体"/>
                <w:sz w:val="24"/>
                <w:szCs w:val="24"/>
              </w:rPr>
            </w:pPr>
            <w:r>
              <w:rPr>
                <w:rFonts w:hint="eastAsia" w:ascii="宋体" w:hAnsi="宋体" w:eastAsia="宋体" w:cs="宋体"/>
                <w:sz w:val="24"/>
                <w:szCs w:val="24"/>
              </w:rPr>
              <w:t>吸入： 迅速脱离现场至空气新鲜处。保持呼吸道通畅。如呼吸困难，给输氧。如呼吸停止，立即进行人工呼吸。就医。</w:t>
            </w:r>
          </w:p>
          <w:p w14:paraId="74566BC6">
            <w:pPr>
              <w:spacing w:line="300" w:lineRule="exact"/>
              <w:rPr>
                <w:rFonts w:hint="eastAsia" w:ascii="宋体" w:hAnsi="宋体" w:eastAsia="宋体" w:cs="宋体"/>
                <w:sz w:val="24"/>
                <w:szCs w:val="24"/>
              </w:rPr>
            </w:pPr>
            <w:r>
              <w:rPr>
                <w:rFonts w:hint="eastAsia" w:ascii="宋体" w:hAnsi="宋体" w:eastAsia="宋体" w:cs="宋体"/>
                <w:sz w:val="24"/>
                <w:szCs w:val="24"/>
              </w:rPr>
              <w:t>食入：尽快彻底洗胃。就医。</w:t>
            </w:r>
          </w:p>
        </w:tc>
      </w:tr>
      <w:tr w14:paraId="7EFC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2D209881">
            <w:pPr>
              <w:pStyle w:val="20"/>
              <w:pBdr>
                <w:bottom w:val="none" w:color="auto" w:sz="0" w:space="0"/>
              </w:pBdr>
              <w:tabs>
                <w:tab w:val="clear" w:pos="4153"/>
                <w:tab w:val="clear" w:pos="8306"/>
              </w:tabs>
              <w:snapToGrid/>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燃爆特性与消防</w:t>
            </w:r>
          </w:p>
        </w:tc>
        <w:tc>
          <w:tcPr>
            <w:tcW w:w="4333" w:type="dxa"/>
            <w:gridSpan w:val="2"/>
            <w:noWrap w:val="0"/>
            <w:vAlign w:val="center"/>
          </w:tcPr>
          <w:p w14:paraId="11676334">
            <w:pPr>
              <w:spacing w:line="300" w:lineRule="exact"/>
              <w:rPr>
                <w:rFonts w:hint="eastAsia" w:ascii="宋体" w:hAnsi="宋体" w:eastAsia="宋体" w:cs="宋体"/>
                <w:sz w:val="24"/>
                <w:szCs w:val="24"/>
              </w:rPr>
            </w:pPr>
            <w:r>
              <w:rPr>
                <w:rFonts w:hint="eastAsia" w:ascii="宋体" w:hAnsi="宋体" w:eastAsia="宋体" w:cs="宋体"/>
                <w:sz w:val="24"/>
                <w:szCs w:val="24"/>
              </w:rPr>
              <w:t>燃烧性：可燃</w:t>
            </w:r>
          </w:p>
        </w:tc>
        <w:tc>
          <w:tcPr>
            <w:tcW w:w="0" w:type="auto"/>
            <w:gridSpan w:val="2"/>
            <w:noWrap w:val="0"/>
            <w:vAlign w:val="center"/>
          </w:tcPr>
          <w:p w14:paraId="54DEF723">
            <w:pPr>
              <w:spacing w:line="300" w:lineRule="exact"/>
              <w:rPr>
                <w:rFonts w:hint="eastAsia" w:ascii="宋体" w:hAnsi="宋体" w:eastAsia="宋体" w:cs="宋体"/>
                <w:sz w:val="24"/>
                <w:szCs w:val="24"/>
              </w:rPr>
            </w:pPr>
            <w:r>
              <w:rPr>
                <w:rFonts w:hint="eastAsia" w:ascii="宋体" w:hAnsi="宋体" w:eastAsia="宋体" w:cs="宋体"/>
                <w:sz w:val="24"/>
                <w:szCs w:val="24"/>
              </w:rPr>
              <w:t>闪点（℃）：＞55</w:t>
            </w:r>
          </w:p>
        </w:tc>
      </w:tr>
      <w:tr w14:paraId="2152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557945B4">
            <w:pPr>
              <w:spacing w:line="300" w:lineRule="exact"/>
              <w:jc w:val="center"/>
              <w:rPr>
                <w:rFonts w:hint="eastAsia" w:ascii="宋体" w:hAnsi="宋体" w:eastAsia="宋体" w:cs="宋体"/>
                <w:sz w:val="24"/>
                <w:szCs w:val="24"/>
              </w:rPr>
            </w:pPr>
          </w:p>
        </w:tc>
        <w:tc>
          <w:tcPr>
            <w:tcW w:w="4333" w:type="dxa"/>
            <w:gridSpan w:val="2"/>
            <w:noWrap w:val="0"/>
            <w:vAlign w:val="center"/>
          </w:tcPr>
          <w:p w14:paraId="21982337">
            <w:pPr>
              <w:spacing w:line="300" w:lineRule="exact"/>
              <w:rPr>
                <w:rFonts w:hint="eastAsia" w:ascii="宋体" w:hAnsi="宋体" w:eastAsia="宋体" w:cs="宋体"/>
                <w:sz w:val="24"/>
                <w:szCs w:val="24"/>
              </w:rPr>
            </w:pPr>
            <w:r>
              <w:rPr>
                <w:rFonts w:hint="eastAsia" w:ascii="宋体" w:hAnsi="宋体" w:eastAsia="宋体" w:cs="宋体"/>
                <w:sz w:val="24"/>
                <w:szCs w:val="24"/>
              </w:rPr>
              <w:t>爆炸极限（%）：0.7～5.0</w:t>
            </w:r>
          </w:p>
        </w:tc>
        <w:tc>
          <w:tcPr>
            <w:tcW w:w="0" w:type="auto"/>
            <w:gridSpan w:val="2"/>
            <w:noWrap w:val="0"/>
            <w:vAlign w:val="center"/>
          </w:tcPr>
          <w:p w14:paraId="3CF9A334">
            <w:pPr>
              <w:spacing w:line="300" w:lineRule="exact"/>
              <w:rPr>
                <w:rFonts w:hint="eastAsia" w:ascii="宋体" w:hAnsi="宋体" w:eastAsia="宋体" w:cs="宋体"/>
                <w:sz w:val="24"/>
                <w:szCs w:val="24"/>
              </w:rPr>
            </w:pPr>
            <w:r>
              <w:rPr>
                <w:rFonts w:hint="eastAsia" w:ascii="宋体" w:hAnsi="宋体" w:eastAsia="宋体" w:cs="宋体"/>
                <w:sz w:val="24"/>
                <w:szCs w:val="24"/>
              </w:rPr>
              <w:t>引燃温度（℃）：257</w:t>
            </w:r>
          </w:p>
        </w:tc>
      </w:tr>
      <w:tr w14:paraId="6C9C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1384B842">
            <w:pPr>
              <w:spacing w:line="300" w:lineRule="exact"/>
              <w:jc w:val="center"/>
              <w:rPr>
                <w:rFonts w:hint="eastAsia" w:ascii="宋体" w:hAnsi="宋体" w:eastAsia="宋体" w:cs="宋体"/>
                <w:sz w:val="24"/>
                <w:szCs w:val="24"/>
              </w:rPr>
            </w:pPr>
          </w:p>
        </w:tc>
        <w:tc>
          <w:tcPr>
            <w:tcW w:w="4333" w:type="dxa"/>
            <w:gridSpan w:val="2"/>
            <w:noWrap w:val="0"/>
            <w:vAlign w:val="center"/>
          </w:tcPr>
          <w:p w14:paraId="1154B72D">
            <w:pPr>
              <w:spacing w:line="300" w:lineRule="exact"/>
              <w:rPr>
                <w:rFonts w:hint="eastAsia" w:ascii="宋体" w:hAnsi="宋体" w:eastAsia="宋体" w:cs="宋体"/>
                <w:sz w:val="24"/>
                <w:szCs w:val="24"/>
              </w:rPr>
            </w:pPr>
            <w:r>
              <w:rPr>
                <w:rFonts w:hint="eastAsia" w:ascii="宋体" w:hAnsi="宋体" w:eastAsia="宋体" w:cs="宋体"/>
                <w:sz w:val="24"/>
                <w:szCs w:val="24"/>
              </w:rPr>
              <w:t>最大爆炸压力（MPa）：</w:t>
            </w:r>
          </w:p>
        </w:tc>
        <w:tc>
          <w:tcPr>
            <w:tcW w:w="0" w:type="auto"/>
            <w:gridSpan w:val="2"/>
            <w:noWrap w:val="0"/>
            <w:vAlign w:val="center"/>
          </w:tcPr>
          <w:p w14:paraId="017EC7E5">
            <w:pPr>
              <w:spacing w:line="300" w:lineRule="exact"/>
              <w:rPr>
                <w:rFonts w:hint="eastAsia" w:ascii="宋体" w:hAnsi="宋体" w:eastAsia="宋体" w:cs="宋体"/>
                <w:sz w:val="24"/>
                <w:szCs w:val="24"/>
              </w:rPr>
            </w:pPr>
            <w:r>
              <w:rPr>
                <w:rFonts w:hint="eastAsia" w:ascii="宋体" w:hAnsi="宋体" w:eastAsia="宋体" w:cs="宋体"/>
                <w:sz w:val="24"/>
                <w:szCs w:val="24"/>
              </w:rPr>
              <w:t>最小点火能（mJ）：</w:t>
            </w:r>
          </w:p>
        </w:tc>
      </w:tr>
      <w:tr w14:paraId="7B1A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28C804B2">
            <w:pPr>
              <w:spacing w:line="300" w:lineRule="exact"/>
              <w:jc w:val="center"/>
              <w:rPr>
                <w:rFonts w:hint="eastAsia" w:ascii="宋体" w:hAnsi="宋体" w:eastAsia="宋体" w:cs="宋体"/>
                <w:sz w:val="24"/>
                <w:szCs w:val="24"/>
              </w:rPr>
            </w:pPr>
          </w:p>
        </w:tc>
        <w:tc>
          <w:tcPr>
            <w:tcW w:w="7947" w:type="dxa"/>
            <w:gridSpan w:val="4"/>
            <w:noWrap w:val="0"/>
            <w:vAlign w:val="center"/>
          </w:tcPr>
          <w:p w14:paraId="3FA2BB93">
            <w:pPr>
              <w:autoSpaceDE w:val="0"/>
              <w:autoSpaceDN w:val="0"/>
              <w:adjustRightInd w:val="0"/>
              <w:spacing w:line="300" w:lineRule="exact"/>
              <w:jc w:val="left"/>
              <w:rPr>
                <w:rFonts w:hint="eastAsia" w:ascii="宋体" w:hAnsi="宋体" w:eastAsia="宋体" w:cs="宋体"/>
                <w:sz w:val="24"/>
                <w:szCs w:val="24"/>
              </w:rPr>
            </w:pPr>
            <w:r>
              <w:rPr>
                <w:rFonts w:hint="eastAsia" w:ascii="宋体" w:hAnsi="宋体" w:eastAsia="宋体" w:cs="宋体"/>
                <w:sz w:val="24"/>
                <w:szCs w:val="24"/>
              </w:rPr>
              <w:t>危险特性：</w:t>
            </w:r>
            <w:r>
              <w:rPr>
                <w:rFonts w:hint="eastAsia" w:ascii="宋体" w:hAnsi="宋体" w:eastAsia="宋体" w:cs="宋体"/>
                <w:kern w:val="0"/>
                <w:sz w:val="24"/>
                <w:szCs w:val="24"/>
              </w:rPr>
              <w:t>遇明火、高热或氧化剂接触，有引起燃烧爆炸的危险。若遇高热，容器内压增大，有开裂和爆炸的危险。</w:t>
            </w:r>
          </w:p>
        </w:tc>
      </w:tr>
      <w:tr w14:paraId="081C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1C002C01">
            <w:pPr>
              <w:spacing w:line="300" w:lineRule="exact"/>
              <w:jc w:val="center"/>
              <w:rPr>
                <w:rFonts w:hint="eastAsia" w:ascii="宋体" w:hAnsi="宋体" w:eastAsia="宋体" w:cs="宋体"/>
                <w:sz w:val="24"/>
                <w:szCs w:val="24"/>
              </w:rPr>
            </w:pPr>
          </w:p>
        </w:tc>
        <w:tc>
          <w:tcPr>
            <w:tcW w:w="7947" w:type="dxa"/>
            <w:gridSpan w:val="4"/>
            <w:noWrap w:val="0"/>
            <w:vAlign w:val="center"/>
          </w:tcPr>
          <w:p w14:paraId="6D04FB40">
            <w:pPr>
              <w:autoSpaceDE w:val="0"/>
              <w:autoSpaceDN w:val="0"/>
              <w:adjustRightInd w:val="0"/>
              <w:spacing w:line="300" w:lineRule="exact"/>
              <w:jc w:val="left"/>
              <w:rPr>
                <w:rFonts w:hint="eastAsia" w:ascii="宋体" w:hAnsi="宋体" w:eastAsia="宋体" w:cs="宋体"/>
                <w:kern w:val="0"/>
                <w:sz w:val="24"/>
                <w:szCs w:val="24"/>
              </w:rPr>
            </w:pPr>
            <w:r>
              <w:rPr>
                <w:rFonts w:hint="eastAsia" w:ascii="宋体" w:hAnsi="宋体" w:eastAsia="宋体" w:cs="宋体"/>
                <w:sz w:val="24"/>
                <w:szCs w:val="24"/>
              </w:rPr>
              <w:t>灭火方法： 消防人员须佩戴防毒面具、穿全身消防服，在上风向灭火。尽可能将容器从火场移至空旷处。喷水保持火场容器冷却，直至灭火结束。处在火场中的容器若已变色或从安全压装置中产生声音，必须马上撤离。灭火剂：</w:t>
            </w:r>
            <w:r>
              <w:rPr>
                <w:rFonts w:hint="eastAsia" w:ascii="宋体" w:hAnsi="宋体" w:eastAsia="宋体" w:cs="宋体"/>
                <w:kern w:val="0"/>
                <w:sz w:val="24"/>
                <w:szCs w:val="24"/>
              </w:rPr>
              <w:t>泡沫、干粉、二氧化碳、砂土。</w:t>
            </w:r>
          </w:p>
        </w:tc>
      </w:tr>
      <w:tr w14:paraId="1039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2F5255EE">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泄漏应急处理</w:t>
            </w:r>
          </w:p>
        </w:tc>
        <w:tc>
          <w:tcPr>
            <w:tcW w:w="7947" w:type="dxa"/>
            <w:gridSpan w:val="4"/>
            <w:noWrap w:val="0"/>
            <w:vAlign w:val="center"/>
          </w:tcPr>
          <w:p w14:paraId="5B7BF906">
            <w:pPr>
              <w:spacing w:line="300" w:lineRule="exact"/>
              <w:rPr>
                <w:rFonts w:hint="eastAsia" w:ascii="宋体" w:hAnsi="宋体" w:eastAsia="宋体" w:cs="宋体"/>
                <w:sz w:val="24"/>
                <w:szCs w:val="24"/>
              </w:rPr>
            </w:pPr>
            <w:r>
              <w:rPr>
                <w:rFonts w:hint="eastAsia" w:ascii="宋体" w:hAnsi="宋体" w:eastAsia="宋体" w:cs="宋体"/>
                <w:sz w:val="24"/>
                <w:szCs w:val="24"/>
              </w:rPr>
              <w:t xml:space="preserve">迅速撤离泄漏污染区人员至安全区，并进行隔离，严格限制出入。切断火源。建议应急处理人员戴自给正压式呼吸器，穿一般作业工作服。尽可能切断泄漏源，防止进入下水道、排洪沟等限制性空间。小量泄漏：用活性碳或其它惰性材料吸收。大量泄漏：构筑围堤或挖坑收容；用防爆泵转移至槽车或专用收集器内，回收或运至废物处理场所处置。                                                             </w:t>
            </w:r>
          </w:p>
        </w:tc>
      </w:tr>
      <w:tr w14:paraId="7F04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27C2126C">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储运注意事项</w:t>
            </w:r>
          </w:p>
        </w:tc>
        <w:tc>
          <w:tcPr>
            <w:tcW w:w="7947" w:type="dxa"/>
            <w:gridSpan w:val="4"/>
            <w:tcBorders>
              <w:bottom w:val="single" w:color="auto" w:sz="4" w:space="0"/>
            </w:tcBorders>
            <w:noWrap w:val="0"/>
            <w:vAlign w:val="center"/>
          </w:tcPr>
          <w:p w14:paraId="6B1107DF">
            <w:pPr>
              <w:spacing w:line="300" w:lineRule="exact"/>
              <w:rPr>
                <w:rFonts w:hint="eastAsia" w:ascii="宋体" w:hAnsi="宋体" w:eastAsia="宋体" w:cs="宋体"/>
                <w:sz w:val="24"/>
                <w:szCs w:val="24"/>
              </w:rPr>
            </w:pPr>
            <w:r>
              <w:rPr>
                <w:rFonts w:hint="eastAsia" w:ascii="宋体" w:hAnsi="宋体" w:eastAsia="宋体" w:cs="宋体"/>
                <w:sz w:val="24"/>
                <w:szCs w:val="24"/>
              </w:rPr>
              <w:t>储存于阴凉、通风仓间内。远离火种、热源。防止阳光直射。包装要求密封，不可与空气接触。应与氧化剂、卤素分开存放。切忌混储。采用防爆型照明、通风设施。禁止使用易产生火花的机械设备和工具。储区应备有泄漏应急处理和合适的收容材料。</w:t>
            </w:r>
          </w:p>
        </w:tc>
      </w:tr>
      <w:tr w14:paraId="55FE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tcBorders>
              <w:top w:val="single" w:color="auto" w:sz="4" w:space="0"/>
            </w:tcBorders>
            <w:noWrap w:val="0"/>
            <w:vAlign w:val="center"/>
          </w:tcPr>
          <w:p w14:paraId="0A58C4B8">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防护措施</w:t>
            </w:r>
          </w:p>
        </w:tc>
        <w:tc>
          <w:tcPr>
            <w:tcW w:w="7947" w:type="dxa"/>
            <w:gridSpan w:val="4"/>
            <w:tcBorders>
              <w:top w:val="single" w:color="auto" w:sz="4" w:space="0"/>
            </w:tcBorders>
            <w:noWrap w:val="0"/>
            <w:vAlign w:val="center"/>
          </w:tcPr>
          <w:p w14:paraId="26BF5531">
            <w:pPr>
              <w:spacing w:line="300" w:lineRule="exact"/>
              <w:rPr>
                <w:rFonts w:hint="eastAsia" w:ascii="宋体" w:hAnsi="宋体" w:eastAsia="宋体" w:cs="宋体"/>
                <w:sz w:val="24"/>
                <w:szCs w:val="24"/>
              </w:rPr>
            </w:pPr>
            <w:r>
              <w:rPr>
                <w:rFonts w:hint="eastAsia" w:ascii="宋体" w:hAnsi="宋体" w:eastAsia="宋体" w:cs="宋体"/>
                <w:sz w:val="24"/>
                <w:szCs w:val="24"/>
              </w:rPr>
              <w:t>车间卫生标准：中  国MAC（mg/m</w:t>
            </w:r>
            <w:r>
              <w:rPr>
                <w:rFonts w:hint="eastAsia" w:ascii="宋体" w:hAnsi="宋体" w:eastAsia="宋体" w:cs="宋体"/>
                <w:sz w:val="24"/>
                <w:szCs w:val="24"/>
                <w:vertAlign w:val="superscript"/>
              </w:rPr>
              <w:t>3</w:t>
            </w:r>
            <w:r>
              <w:rPr>
                <w:rFonts w:hint="eastAsia" w:ascii="宋体" w:hAnsi="宋体" w:eastAsia="宋体" w:cs="宋体"/>
                <w:sz w:val="24"/>
                <w:szCs w:val="24"/>
              </w:rPr>
              <w:t>）：未制定标准；</w:t>
            </w:r>
          </w:p>
          <w:p w14:paraId="730B6E21">
            <w:pPr>
              <w:spacing w:line="300" w:lineRule="exact"/>
              <w:ind w:firstLine="1729" w:firstLineChars="700"/>
              <w:rPr>
                <w:rFonts w:hint="eastAsia" w:ascii="宋体" w:hAnsi="宋体" w:eastAsia="宋体" w:cs="宋体"/>
                <w:sz w:val="24"/>
                <w:szCs w:val="24"/>
              </w:rPr>
            </w:pPr>
            <w:r>
              <w:rPr>
                <w:rFonts w:hint="eastAsia" w:ascii="宋体" w:hAnsi="宋体" w:eastAsia="宋体" w:cs="宋体"/>
                <w:sz w:val="24"/>
                <w:szCs w:val="24"/>
              </w:rPr>
              <w:t>前苏联MAC（mg/m</w:t>
            </w:r>
            <w:r>
              <w:rPr>
                <w:rFonts w:hint="eastAsia" w:ascii="宋体" w:hAnsi="宋体" w:eastAsia="宋体" w:cs="宋体"/>
                <w:sz w:val="24"/>
                <w:szCs w:val="24"/>
                <w:vertAlign w:val="superscript"/>
              </w:rPr>
              <w:t>3</w:t>
            </w:r>
            <w:r>
              <w:rPr>
                <w:rFonts w:hint="eastAsia" w:ascii="宋体" w:hAnsi="宋体" w:eastAsia="宋体" w:cs="宋体"/>
                <w:sz w:val="24"/>
                <w:szCs w:val="24"/>
              </w:rPr>
              <w:t>）：未制定标准；</w:t>
            </w:r>
          </w:p>
          <w:p w14:paraId="699A2BDD">
            <w:pPr>
              <w:spacing w:line="300" w:lineRule="exact"/>
              <w:rPr>
                <w:rFonts w:hint="eastAsia" w:ascii="宋体" w:hAnsi="宋体" w:eastAsia="宋体" w:cs="宋体"/>
                <w:sz w:val="24"/>
                <w:szCs w:val="24"/>
              </w:rPr>
            </w:pPr>
            <w:r>
              <w:rPr>
                <w:rFonts w:hint="eastAsia" w:ascii="宋体" w:hAnsi="宋体" w:eastAsia="宋体" w:cs="宋体"/>
                <w:sz w:val="24"/>
                <w:szCs w:val="24"/>
              </w:rPr>
              <w:t>检测方法：</w:t>
            </w:r>
          </w:p>
          <w:p w14:paraId="3D0D1597">
            <w:pPr>
              <w:spacing w:line="300" w:lineRule="exact"/>
              <w:rPr>
                <w:rFonts w:hint="eastAsia" w:ascii="宋体" w:hAnsi="宋体" w:eastAsia="宋体" w:cs="宋体"/>
                <w:sz w:val="24"/>
                <w:szCs w:val="24"/>
              </w:rPr>
            </w:pPr>
            <w:r>
              <w:rPr>
                <w:rFonts w:hint="eastAsia" w:ascii="宋体" w:hAnsi="宋体" w:eastAsia="宋体" w:cs="宋体"/>
                <w:sz w:val="24"/>
                <w:szCs w:val="24"/>
              </w:rPr>
              <w:t>工程控制：密闭操作、注意通风。</w:t>
            </w:r>
          </w:p>
          <w:p w14:paraId="3E66DE0B">
            <w:pPr>
              <w:spacing w:line="300" w:lineRule="exact"/>
              <w:rPr>
                <w:rFonts w:hint="eastAsia" w:ascii="宋体" w:hAnsi="宋体" w:eastAsia="宋体" w:cs="宋体"/>
                <w:sz w:val="24"/>
                <w:szCs w:val="24"/>
              </w:rPr>
            </w:pPr>
            <w:r>
              <w:rPr>
                <w:rFonts w:hint="eastAsia" w:ascii="宋体" w:hAnsi="宋体" w:eastAsia="宋体" w:cs="宋体"/>
                <w:sz w:val="24"/>
                <w:szCs w:val="24"/>
              </w:rPr>
              <w:t>呼吸系统防护：可佩戴自吸过滤式防毒面具（半面罩）。</w:t>
            </w:r>
          </w:p>
          <w:p w14:paraId="781EFE81">
            <w:pPr>
              <w:spacing w:line="300" w:lineRule="exact"/>
              <w:rPr>
                <w:rFonts w:hint="eastAsia" w:ascii="宋体" w:hAnsi="宋体" w:eastAsia="宋体" w:cs="宋体"/>
                <w:sz w:val="24"/>
                <w:szCs w:val="24"/>
              </w:rPr>
            </w:pPr>
            <w:r>
              <w:rPr>
                <w:rFonts w:hint="eastAsia" w:ascii="宋体" w:hAnsi="宋体" w:eastAsia="宋体" w:cs="宋体"/>
                <w:sz w:val="24"/>
                <w:szCs w:val="24"/>
              </w:rPr>
              <w:t>眼睛防护：戴化学安全防护眼镜。</w:t>
            </w:r>
          </w:p>
          <w:p w14:paraId="76722C9A">
            <w:pPr>
              <w:spacing w:line="300" w:lineRule="exact"/>
              <w:rPr>
                <w:rFonts w:hint="eastAsia" w:ascii="宋体" w:hAnsi="宋体" w:eastAsia="宋体" w:cs="宋体"/>
                <w:sz w:val="24"/>
                <w:szCs w:val="24"/>
              </w:rPr>
            </w:pPr>
            <w:r>
              <w:rPr>
                <w:rFonts w:hint="eastAsia" w:ascii="宋体" w:hAnsi="宋体" w:eastAsia="宋体" w:cs="宋体"/>
                <w:sz w:val="24"/>
                <w:szCs w:val="24"/>
              </w:rPr>
              <w:t>身体防护：穿一般工作服服。</w:t>
            </w:r>
          </w:p>
          <w:p w14:paraId="55751928">
            <w:pPr>
              <w:spacing w:line="300" w:lineRule="exact"/>
              <w:rPr>
                <w:rFonts w:hint="eastAsia" w:ascii="宋体" w:hAnsi="宋体" w:eastAsia="宋体" w:cs="宋体"/>
                <w:sz w:val="24"/>
                <w:szCs w:val="24"/>
              </w:rPr>
            </w:pPr>
            <w:r>
              <w:rPr>
                <w:rFonts w:hint="eastAsia" w:ascii="宋体" w:hAnsi="宋体" w:eastAsia="宋体" w:cs="宋体"/>
                <w:sz w:val="24"/>
                <w:szCs w:val="24"/>
              </w:rPr>
              <w:t>手防护：戴防苯耐油手套。</w:t>
            </w:r>
          </w:p>
          <w:p w14:paraId="693A0C6C">
            <w:pPr>
              <w:spacing w:line="300" w:lineRule="exact"/>
              <w:rPr>
                <w:rFonts w:hint="eastAsia" w:ascii="宋体" w:hAnsi="宋体" w:eastAsia="宋体" w:cs="宋体"/>
                <w:sz w:val="24"/>
                <w:szCs w:val="24"/>
              </w:rPr>
            </w:pPr>
            <w:r>
              <w:rPr>
                <w:rFonts w:hint="eastAsia" w:ascii="宋体" w:hAnsi="宋体" w:eastAsia="宋体" w:cs="宋体"/>
                <w:sz w:val="24"/>
                <w:szCs w:val="24"/>
              </w:rPr>
              <w:t>其它：工作现场禁止吸烟。避免长期反复接触。</w:t>
            </w:r>
          </w:p>
        </w:tc>
      </w:tr>
      <w:tr w14:paraId="7D94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6982ED4E">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理化性质</w:t>
            </w:r>
          </w:p>
        </w:tc>
        <w:tc>
          <w:tcPr>
            <w:tcW w:w="4333" w:type="dxa"/>
            <w:gridSpan w:val="2"/>
            <w:noWrap w:val="0"/>
            <w:vAlign w:val="center"/>
          </w:tcPr>
          <w:p w14:paraId="0E6041D1">
            <w:pPr>
              <w:spacing w:line="300" w:lineRule="exact"/>
              <w:rPr>
                <w:rFonts w:hint="eastAsia" w:ascii="宋体" w:hAnsi="宋体" w:eastAsia="宋体" w:cs="宋体"/>
                <w:sz w:val="24"/>
                <w:szCs w:val="24"/>
              </w:rPr>
            </w:pPr>
            <w:r>
              <w:rPr>
                <w:rFonts w:hint="eastAsia" w:ascii="宋体" w:hAnsi="宋体" w:eastAsia="宋体" w:cs="宋体"/>
                <w:sz w:val="24"/>
                <w:szCs w:val="24"/>
              </w:rPr>
              <w:t>熔点（℃）：－18</w:t>
            </w:r>
          </w:p>
        </w:tc>
        <w:tc>
          <w:tcPr>
            <w:tcW w:w="0" w:type="auto"/>
            <w:gridSpan w:val="2"/>
            <w:noWrap w:val="0"/>
            <w:vAlign w:val="center"/>
          </w:tcPr>
          <w:p w14:paraId="213FC12B">
            <w:pPr>
              <w:spacing w:line="300" w:lineRule="exact"/>
              <w:rPr>
                <w:rFonts w:hint="eastAsia" w:ascii="宋体" w:hAnsi="宋体" w:eastAsia="宋体" w:cs="宋体"/>
                <w:sz w:val="24"/>
                <w:szCs w:val="24"/>
              </w:rPr>
            </w:pPr>
            <w:r>
              <w:rPr>
                <w:rFonts w:hint="eastAsia" w:ascii="宋体" w:hAnsi="宋体" w:eastAsia="宋体" w:cs="宋体"/>
                <w:sz w:val="24"/>
                <w:szCs w:val="24"/>
              </w:rPr>
              <w:t>沸点（℃）：282～338</w:t>
            </w:r>
          </w:p>
        </w:tc>
      </w:tr>
      <w:tr w14:paraId="3D23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452E73DA">
            <w:pPr>
              <w:spacing w:line="300" w:lineRule="exact"/>
              <w:jc w:val="center"/>
              <w:rPr>
                <w:rFonts w:hint="eastAsia" w:ascii="宋体" w:hAnsi="宋体" w:eastAsia="宋体" w:cs="宋体"/>
                <w:b/>
                <w:bCs/>
                <w:sz w:val="24"/>
                <w:szCs w:val="24"/>
              </w:rPr>
            </w:pPr>
          </w:p>
        </w:tc>
        <w:tc>
          <w:tcPr>
            <w:tcW w:w="4333" w:type="dxa"/>
            <w:gridSpan w:val="2"/>
            <w:noWrap w:val="0"/>
            <w:vAlign w:val="center"/>
          </w:tcPr>
          <w:p w14:paraId="74DB0CFA">
            <w:pPr>
              <w:spacing w:line="300" w:lineRule="exact"/>
              <w:rPr>
                <w:rFonts w:hint="eastAsia" w:ascii="宋体" w:hAnsi="宋体" w:eastAsia="宋体" w:cs="宋体"/>
                <w:sz w:val="24"/>
                <w:szCs w:val="24"/>
              </w:rPr>
            </w:pPr>
            <w:r>
              <w:rPr>
                <w:rFonts w:hint="eastAsia" w:ascii="宋体" w:hAnsi="宋体" w:eastAsia="宋体" w:cs="宋体"/>
                <w:sz w:val="24"/>
                <w:szCs w:val="24"/>
              </w:rPr>
              <w:t>相对密度（水=1）： 0.87～0.9</w:t>
            </w:r>
          </w:p>
        </w:tc>
        <w:tc>
          <w:tcPr>
            <w:tcW w:w="0" w:type="auto"/>
            <w:gridSpan w:val="2"/>
            <w:noWrap w:val="0"/>
            <w:vAlign w:val="center"/>
          </w:tcPr>
          <w:p w14:paraId="682A0AB9">
            <w:pPr>
              <w:spacing w:line="300" w:lineRule="exact"/>
              <w:rPr>
                <w:rFonts w:hint="eastAsia" w:ascii="宋体" w:hAnsi="宋体" w:eastAsia="宋体" w:cs="宋体"/>
                <w:sz w:val="24"/>
                <w:szCs w:val="24"/>
              </w:rPr>
            </w:pPr>
            <w:r>
              <w:rPr>
                <w:rFonts w:hint="eastAsia" w:ascii="宋体" w:hAnsi="宋体" w:eastAsia="宋体" w:cs="宋体"/>
                <w:sz w:val="24"/>
                <w:szCs w:val="24"/>
              </w:rPr>
              <w:t>相对密度（空气=1）：</w:t>
            </w:r>
          </w:p>
        </w:tc>
      </w:tr>
      <w:tr w14:paraId="2499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468C9D8F">
            <w:pPr>
              <w:spacing w:line="300" w:lineRule="exact"/>
              <w:jc w:val="center"/>
              <w:rPr>
                <w:rFonts w:hint="eastAsia" w:ascii="宋体" w:hAnsi="宋体" w:eastAsia="宋体" w:cs="宋体"/>
                <w:b/>
                <w:bCs/>
                <w:sz w:val="24"/>
                <w:szCs w:val="24"/>
              </w:rPr>
            </w:pPr>
          </w:p>
        </w:tc>
        <w:tc>
          <w:tcPr>
            <w:tcW w:w="4333" w:type="dxa"/>
            <w:gridSpan w:val="2"/>
            <w:noWrap w:val="0"/>
            <w:vAlign w:val="center"/>
          </w:tcPr>
          <w:p w14:paraId="135EC664">
            <w:pPr>
              <w:spacing w:line="300" w:lineRule="exact"/>
              <w:rPr>
                <w:rFonts w:hint="eastAsia" w:ascii="宋体" w:hAnsi="宋体" w:eastAsia="宋体" w:cs="宋体"/>
                <w:sz w:val="24"/>
                <w:szCs w:val="24"/>
              </w:rPr>
            </w:pPr>
            <w:r>
              <w:rPr>
                <w:rFonts w:hint="eastAsia" w:ascii="宋体" w:hAnsi="宋体" w:eastAsia="宋体" w:cs="宋体"/>
                <w:sz w:val="24"/>
                <w:szCs w:val="24"/>
              </w:rPr>
              <w:t>饱和蒸气压（Kpa）：</w:t>
            </w:r>
          </w:p>
        </w:tc>
        <w:tc>
          <w:tcPr>
            <w:tcW w:w="0" w:type="auto"/>
            <w:gridSpan w:val="2"/>
            <w:noWrap w:val="0"/>
            <w:vAlign w:val="center"/>
          </w:tcPr>
          <w:p w14:paraId="76D86ABA">
            <w:pPr>
              <w:spacing w:line="300" w:lineRule="exact"/>
              <w:rPr>
                <w:rFonts w:hint="eastAsia" w:ascii="宋体" w:hAnsi="宋体" w:eastAsia="宋体" w:cs="宋体"/>
                <w:sz w:val="24"/>
                <w:szCs w:val="24"/>
              </w:rPr>
            </w:pPr>
            <w:r>
              <w:rPr>
                <w:rFonts w:hint="eastAsia" w:ascii="宋体" w:hAnsi="宋体" w:eastAsia="宋体" w:cs="宋体"/>
                <w:sz w:val="24"/>
                <w:szCs w:val="24"/>
              </w:rPr>
              <w:t>辛醇/水分配系数的对数值：</w:t>
            </w:r>
          </w:p>
        </w:tc>
      </w:tr>
      <w:tr w14:paraId="1870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5AC7A9FC">
            <w:pPr>
              <w:spacing w:line="300" w:lineRule="exact"/>
              <w:jc w:val="center"/>
              <w:rPr>
                <w:rFonts w:hint="eastAsia" w:ascii="宋体" w:hAnsi="宋体" w:eastAsia="宋体" w:cs="宋体"/>
                <w:b/>
                <w:bCs/>
                <w:sz w:val="24"/>
                <w:szCs w:val="24"/>
              </w:rPr>
            </w:pPr>
          </w:p>
        </w:tc>
        <w:tc>
          <w:tcPr>
            <w:tcW w:w="4333" w:type="dxa"/>
            <w:gridSpan w:val="2"/>
            <w:noWrap w:val="0"/>
            <w:vAlign w:val="center"/>
          </w:tcPr>
          <w:p w14:paraId="5AACF188">
            <w:pPr>
              <w:spacing w:line="300" w:lineRule="exact"/>
              <w:rPr>
                <w:rFonts w:hint="eastAsia" w:ascii="宋体" w:hAnsi="宋体" w:eastAsia="宋体" w:cs="宋体"/>
                <w:sz w:val="24"/>
                <w:szCs w:val="24"/>
              </w:rPr>
            </w:pPr>
            <w:r>
              <w:rPr>
                <w:rFonts w:hint="eastAsia" w:ascii="宋体" w:hAnsi="宋体" w:eastAsia="宋体" w:cs="宋体"/>
                <w:sz w:val="24"/>
                <w:szCs w:val="24"/>
              </w:rPr>
              <w:t>燃烧热（KJ/mol）：</w:t>
            </w:r>
          </w:p>
        </w:tc>
        <w:tc>
          <w:tcPr>
            <w:tcW w:w="0" w:type="auto"/>
            <w:gridSpan w:val="2"/>
            <w:noWrap w:val="0"/>
            <w:vAlign w:val="center"/>
          </w:tcPr>
          <w:p w14:paraId="79D299A8">
            <w:pPr>
              <w:spacing w:line="300" w:lineRule="exact"/>
              <w:rPr>
                <w:rFonts w:hint="eastAsia" w:ascii="宋体" w:hAnsi="宋体" w:eastAsia="宋体" w:cs="宋体"/>
                <w:sz w:val="24"/>
                <w:szCs w:val="24"/>
              </w:rPr>
            </w:pPr>
            <w:r>
              <w:rPr>
                <w:rFonts w:hint="eastAsia" w:ascii="宋体" w:hAnsi="宋体" w:eastAsia="宋体" w:cs="宋体"/>
                <w:sz w:val="24"/>
                <w:szCs w:val="24"/>
              </w:rPr>
              <w:t>临界温度（℃）：</w:t>
            </w:r>
          </w:p>
        </w:tc>
      </w:tr>
      <w:tr w14:paraId="64CC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738C908F">
            <w:pPr>
              <w:spacing w:line="300" w:lineRule="exact"/>
              <w:jc w:val="center"/>
              <w:rPr>
                <w:rFonts w:hint="eastAsia" w:ascii="宋体" w:hAnsi="宋体" w:eastAsia="宋体" w:cs="宋体"/>
                <w:b/>
                <w:bCs/>
                <w:sz w:val="24"/>
                <w:szCs w:val="24"/>
              </w:rPr>
            </w:pPr>
          </w:p>
        </w:tc>
        <w:tc>
          <w:tcPr>
            <w:tcW w:w="4333" w:type="dxa"/>
            <w:gridSpan w:val="2"/>
            <w:noWrap w:val="0"/>
            <w:vAlign w:val="center"/>
          </w:tcPr>
          <w:p w14:paraId="5F3A7FA0">
            <w:pPr>
              <w:spacing w:line="300" w:lineRule="exact"/>
              <w:rPr>
                <w:rFonts w:hint="eastAsia" w:ascii="宋体" w:hAnsi="宋体" w:eastAsia="宋体" w:cs="宋体"/>
                <w:sz w:val="24"/>
                <w:szCs w:val="24"/>
              </w:rPr>
            </w:pPr>
            <w:r>
              <w:rPr>
                <w:rFonts w:hint="eastAsia" w:ascii="宋体" w:hAnsi="宋体" w:eastAsia="宋体" w:cs="宋体"/>
                <w:sz w:val="24"/>
                <w:szCs w:val="24"/>
              </w:rPr>
              <w:t>临界压力（Kpa）：</w:t>
            </w:r>
          </w:p>
        </w:tc>
        <w:tc>
          <w:tcPr>
            <w:tcW w:w="0" w:type="auto"/>
            <w:gridSpan w:val="2"/>
            <w:noWrap w:val="0"/>
            <w:vAlign w:val="center"/>
          </w:tcPr>
          <w:p w14:paraId="723BCB3C">
            <w:pPr>
              <w:spacing w:line="300" w:lineRule="exact"/>
              <w:rPr>
                <w:rFonts w:hint="eastAsia" w:ascii="宋体" w:hAnsi="宋体" w:eastAsia="宋体" w:cs="宋体"/>
                <w:sz w:val="24"/>
                <w:szCs w:val="24"/>
              </w:rPr>
            </w:pPr>
            <w:r>
              <w:rPr>
                <w:rFonts w:hint="eastAsia" w:ascii="宋体" w:hAnsi="宋体" w:eastAsia="宋体" w:cs="宋体"/>
                <w:sz w:val="24"/>
                <w:szCs w:val="24"/>
              </w:rPr>
              <w:t>折射率：</w:t>
            </w:r>
          </w:p>
        </w:tc>
      </w:tr>
      <w:tr w14:paraId="20BB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708AB949">
            <w:pPr>
              <w:spacing w:line="300" w:lineRule="exact"/>
              <w:jc w:val="center"/>
              <w:rPr>
                <w:rFonts w:hint="eastAsia" w:ascii="宋体" w:hAnsi="宋体" w:eastAsia="宋体" w:cs="宋体"/>
                <w:b/>
                <w:bCs/>
                <w:sz w:val="24"/>
                <w:szCs w:val="24"/>
              </w:rPr>
            </w:pPr>
          </w:p>
        </w:tc>
        <w:tc>
          <w:tcPr>
            <w:tcW w:w="7947" w:type="dxa"/>
            <w:gridSpan w:val="4"/>
            <w:noWrap w:val="0"/>
            <w:vAlign w:val="center"/>
          </w:tcPr>
          <w:p w14:paraId="3140F83B">
            <w:pPr>
              <w:spacing w:line="300" w:lineRule="exact"/>
              <w:rPr>
                <w:rFonts w:hint="eastAsia" w:ascii="宋体" w:hAnsi="宋体" w:eastAsia="宋体" w:cs="宋体"/>
                <w:sz w:val="24"/>
                <w:szCs w:val="24"/>
              </w:rPr>
            </w:pPr>
            <w:r>
              <w:rPr>
                <w:rFonts w:hint="eastAsia" w:ascii="宋体" w:hAnsi="宋体" w:eastAsia="宋体" w:cs="宋体"/>
                <w:sz w:val="24"/>
                <w:szCs w:val="24"/>
              </w:rPr>
              <w:t>溶解性：不溶于水，易溶于醇等多数有机溶剂。</w:t>
            </w:r>
          </w:p>
        </w:tc>
      </w:tr>
      <w:tr w14:paraId="5612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130B17B6">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稳定性和反应活性</w:t>
            </w:r>
          </w:p>
        </w:tc>
        <w:tc>
          <w:tcPr>
            <w:tcW w:w="4333" w:type="dxa"/>
            <w:gridSpan w:val="2"/>
            <w:noWrap w:val="0"/>
            <w:vAlign w:val="center"/>
          </w:tcPr>
          <w:p w14:paraId="01E74AA1">
            <w:pPr>
              <w:spacing w:line="300" w:lineRule="exact"/>
              <w:rPr>
                <w:rFonts w:hint="eastAsia" w:ascii="宋体" w:hAnsi="宋体" w:eastAsia="宋体" w:cs="宋体"/>
                <w:sz w:val="24"/>
                <w:szCs w:val="24"/>
              </w:rPr>
            </w:pPr>
            <w:r>
              <w:rPr>
                <w:rFonts w:hint="eastAsia" w:ascii="宋体" w:hAnsi="宋体" w:eastAsia="宋体" w:cs="宋体"/>
                <w:sz w:val="24"/>
                <w:szCs w:val="24"/>
              </w:rPr>
              <w:t>稳定性：稳定</w:t>
            </w:r>
          </w:p>
        </w:tc>
        <w:tc>
          <w:tcPr>
            <w:tcW w:w="0" w:type="auto"/>
            <w:gridSpan w:val="2"/>
            <w:noWrap w:val="0"/>
            <w:vAlign w:val="center"/>
          </w:tcPr>
          <w:p w14:paraId="530EF489">
            <w:pPr>
              <w:spacing w:line="300" w:lineRule="exact"/>
              <w:rPr>
                <w:rFonts w:hint="eastAsia" w:ascii="宋体" w:hAnsi="宋体" w:eastAsia="宋体" w:cs="宋体"/>
                <w:sz w:val="24"/>
                <w:szCs w:val="24"/>
              </w:rPr>
            </w:pPr>
            <w:r>
              <w:rPr>
                <w:rFonts w:hint="eastAsia" w:ascii="宋体" w:hAnsi="宋体" w:eastAsia="宋体" w:cs="宋体"/>
                <w:sz w:val="24"/>
                <w:szCs w:val="24"/>
              </w:rPr>
              <w:t>聚合危害：不聚合</w:t>
            </w:r>
          </w:p>
        </w:tc>
      </w:tr>
      <w:tr w14:paraId="414D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0F8A0307">
            <w:pPr>
              <w:spacing w:line="300" w:lineRule="exact"/>
              <w:jc w:val="center"/>
              <w:rPr>
                <w:rFonts w:hint="eastAsia" w:ascii="宋体" w:hAnsi="宋体" w:eastAsia="宋体" w:cs="宋体"/>
                <w:b/>
                <w:bCs/>
                <w:sz w:val="24"/>
                <w:szCs w:val="24"/>
              </w:rPr>
            </w:pPr>
          </w:p>
        </w:tc>
        <w:tc>
          <w:tcPr>
            <w:tcW w:w="4333" w:type="dxa"/>
            <w:gridSpan w:val="2"/>
            <w:noWrap w:val="0"/>
            <w:vAlign w:val="center"/>
          </w:tcPr>
          <w:p w14:paraId="6E0A4787">
            <w:pPr>
              <w:spacing w:line="300" w:lineRule="exact"/>
              <w:rPr>
                <w:rFonts w:hint="eastAsia" w:ascii="宋体" w:hAnsi="宋体" w:eastAsia="宋体" w:cs="宋体"/>
                <w:sz w:val="24"/>
                <w:szCs w:val="24"/>
              </w:rPr>
            </w:pPr>
            <w:r>
              <w:rPr>
                <w:rFonts w:hint="eastAsia" w:ascii="宋体" w:hAnsi="宋体" w:eastAsia="宋体" w:cs="宋体"/>
                <w:sz w:val="24"/>
                <w:szCs w:val="24"/>
              </w:rPr>
              <w:t>避免接触的条件：</w:t>
            </w:r>
          </w:p>
        </w:tc>
        <w:tc>
          <w:tcPr>
            <w:tcW w:w="0" w:type="auto"/>
            <w:gridSpan w:val="2"/>
            <w:noWrap w:val="0"/>
            <w:vAlign w:val="center"/>
          </w:tcPr>
          <w:p w14:paraId="38198755">
            <w:pPr>
              <w:spacing w:line="300" w:lineRule="exact"/>
              <w:rPr>
                <w:rFonts w:hint="eastAsia" w:ascii="宋体" w:hAnsi="宋体" w:eastAsia="宋体" w:cs="宋体"/>
                <w:sz w:val="24"/>
                <w:szCs w:val="24"/>
              </w:rPr>
            </w:pPr>
            <w:r>
              <w:rPr>
                <w:rFonts w:hint="eastAsia" w:ascii="宋体" w:hAnsi="宋体" w:eastAsia="宋体" w:cs="宋体"/>
                <w:sz w:val="24"/>
                <w:szCs w:val="24"/>
              </w:rPr>
              <w:t>禁忌物：强氧化剂、卤素。</w:t>
            </w:r>
          </w:p>
        </w:tc>
      </w:tr>
      <w:tr w14:paraId="0704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08416EA3">
            <w:pPr>
              <w:spacing w:line="300" w:lineRule="exact"/>
              <w:jc w:val="center"/>
              <w:rPr>
                <w:rFonts w:hint="eastAsia" w:ascii="宋体" w:hAnsi="宋体" w:eastAsia="宋体" w:cs="宋体"/>
                <w:b/>
                <w:bCs/>
                <w:sz w:val="24"/>
                <w:szCs w:val="24"/>
              </w:rPr>
            </w:pPr>
          </w:p>
        </w:tc>
        <w:tc>
          <w:tcPr>
            <w:tcW w:w="7947" w:type="dxa"/>
            <w:gridSpan w:val="4"/>
            <w:noWrap w:val="0"/>
            <w:vAlign w:val="center"/>
          </w:tcPr>
          <w:p w14:paraId="6DB0F4BE">
            <w:pPr>
              <w:spacing w:line="300" w:lineRule="exact"/>
              <w:rPr>
                <w:rFonts w:hint="eastAsia" w:ascii="宋体" w:hAnsi="宋体" w:eastAsia="宋体" w:cs="宋体"/>
                <w:sz w:val="24"/>
                <w:szCs w:val="24"/>
              </w:rPr>
            </w:pPr>
            <w:r>
              <w:rPr>
                <w:rFonts w:hint="eastAsia" w:ascii="宋体" w:hAnsi="宋体" w:eastAsia="宋体" w:cs="宋体"/>
                <w:sz w:val="24"/>
                <w:szCs w:val="24"/>
              </w:rPr>
              <w:t>燃烧（分解）产物：一氧化碳、二氧化碳。</w:t>
            </w:r>
          </w:p>
        </w:tc>
      </w:tr>
      <w:tr w14:paraId="724A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3DF4F8B8">
            <w:pPr>
              <w:spacing w:line="300" w:lineRule="exact"/>
              <w:ind w:left="0" w:leftChars="0" w:firstLine="0" w:firstLineChars="0"/>
              <w:jc w:val="center"/>
              <w:rPr>
                <w:rFonts w:hint="eastAsia" w:ascii="宋体" w:hAnsi="宋体" w:eastAsia="宋体" w:cs="宋体"/>
                <w:b/>
                <w:bCs/>
                <w:sz w:val="24"/>
                <w:szCs w:val="24"/>
              </w:rPr>
            </w:pPr>
            <w:r>
              <w:rPr>
                <w:rFonts w:hint="eastAsia" w:ascii="宋体" w:hAnsi="宋体" w:eastAsia="宋体" w:cs="宋体"/>
                <w:sz w:val="24"/>
                <w:szCs w:val="24"/>
              </w:rPr>
              <w:t>毒性</w:t>
            </w:r>
          </w:p>
        </w:tc>
        <w:tc>
          <w:tcPr>
            <w:tcW w:w="7947" w:type="dxa"/>
            <w:gridSpan w:val="4"/>
            <w:noWrap w:val="0"/>
            <w:vAlign w:val="center"/>
          </w:tcPr>
          <w:p w14:paraId="79A9A9B4">
            <w:pPr>
              <w:autoSpaceDE w:val="0"/>
              <w:autoSpaceDN w:val="0"/>
              <w:adjustRightInd w:val="0"/>
              <w:spacing w:line="300" w:lineRule="exact"/>
              <w:jc w:val="left"/>
              <w:rPr>
                <w:rFonts w:hint="eastAsia" w:ascii="宋体" w:hAnsi="宋体" w:eastAsia="宋体" w:cs="宋体"/>
                <w:sz w:val="24"/>
                <w:szCs w:val="24"/>
              </w:rPr>
            </w:pPr>
            <w:r>
              <w:rPr>
                <w:rFonts w:hint="eastAsia" w:ascii="宋体" w:hAnsi="宋体" w:eastAsia="宋体" w:cs="宋体"/>
                <w:sz w:val="24"/>
                <w:szCs w:val="24"/>
              </w:rPr>
              <w:t>无资料。</w:t>
            </w:r>
          </w:p>
        </w:tc>
      </w:tr>
      <w:tr w14:paraId="36AD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3DDB55CB">
            <w:pPr>
              <w:spacing w:line="300" w:lineRule="exact"/>
              <w:ind w:left="0" w:leftChars="0" w:firstLine="0" w:firstLineChars="0"/>
              <w:jc w:val="center"/>
              <w:rPr>
                <w:rFonts w:hint="eastAsia" w:ascii="宋体" w:hAnsi="宋体" w:eastAsia="宋体" w:cs="宋体"/>
                <w:b/>
                <w:bCs/>
                <w:sz w:val="24"/>
                <w:szCs w:val="24"/>
              </w:rPr>
            </w:pPr>
            <w:r>
              <w:rPr>
                <w:rFonts w:hint="eastAsia" w:ascii="宋体" w:hAnsi="宋体" w:eastAsia="宋体" w:cs="宋体"/>
                <w:sz w:val="24"/>
                <w:szCs w:val="24"/>
              </w:rPr>
              <w:t>环境资料</w:t>
            </w:r>
          </w:p>
        </w:tc>
        <w:tc>
          <w:tcPr>
            <w:tcW w:w="7947" w:type="dxa"/>
            <w:gridSpan w:val="4"/>
            <w:noWrap w:val="0"/>
            <w:vAlign w:val="center"/>
          </w:tcPr>
          <w:p w14:paraId="452473CF">
            <w:pPr>
              <w:spacing w:line="300" w:lineRule="exact"/>
              <w:rPr>
                <w:rFonts w:hint="eastAsia" w:ascii="宋体" w:hAnsi="宋体" w:eastAsia="宋体" w:cs="宋体"/>
                <w:sz w:val="24"/>
                <w:szCs w:val="24"/>
              </w:rPr>
            </w:pPr>
            <w:r>
              <w:rPr>
                <w:rFonts w:hint="eastAsia" w:ascii="宋体" w:hAnsi="宋体" w:eastAsia="宋体" w:cs="宋体"/>
                <w:sz w:val="24"/>
                <w:szCs w:val="24"/>
              </w:rPr>
              <w:t>该物质对环境有危害，应特别注意对水体和大气的污染</w:t>
            </w:r>
            <w:r>
              <w:rPr>
                <w:rFonts w:hint="eastAsia" w:ascii="宋体" w:hAnsi="宋体" w:eastAsia="宋体" w:cs="宋体"/>
                <w:kern w:val="0"/>
                <w:sz w:val="24"/>
                <w:szCs w:val="24"/>
              </w:rPr>
              <w:t>。</w:t>
            </w:r>
          </w:p>
        </w:tc>
      </w:tr>
      <w:tr w14:paraId="0A46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noWrap w:val="0"/>
            <w:vAlign w:val="center"/>
          </w:tcPr>
          <w:p w14:paraId="2108F499">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废弃</w:t>
            </w:r>
          </w:p>
        </w:tc>
        <w:tc>
          <w:tcPr>
            <w:tcW w:w="7947" w:type="dxa"/>
            <w:gridSpan w:val="4"/>
            <w:noWrap w:val="0"/>
            <w:vAlign w:val="center"/>
          </w:tcPr>
          <w:p w14:paraId="3639715A">
            <w:pPr>
              <w:spacing w:line="300" w:lineRule="exact"/>
              <w:rPr>
                <w:rFonts w:hint="eastAsia" w:ascii="宋体" w:hAnsi="宋体" w:eastAsia="宋体" w:cs="宋体"/>
                <w:sz w:val="24"/>
                <w:szCs w:val="24"/>
              </w:rPr>
            </w:pPr>
            <w:r>
              <w:rPr>
                <w:rFonts w:hint="eastAsia" w:ascii="宋体" w:hAnsi="宋体" w:eastAsia="宋体" w:cs="宋体"/>
                <w:sz w:val="24"/>
                <w:szCs w:val="24"/>
              </w:rPr>
              <w:t>处置前应参阅国家和地方有关法规。建议用焚烧法处置。</w:t>
            </w:r>
          </w:p>
        </w:tc>
      </w:tr>
      <w:tr w14:paraId="7A18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restart"/>
            <w:noWrap w:val="0"/>
            <w:vAlign w:val="center"/>
          </w:tcPr>
          <w:p w14:paraId="3D4312C0">
            <w:pPr>
              <w:spacing w:line="300" w:lineRule="exact"/>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运输</w:t>
            </w:r>
          </w:p>
          <w:p w14:paraId="2B3928B5">
            <w:pPr>
              <w:spacing w:line="300" w:lineRule="exact"/>
              <w:ind w:left="0" w:leftChars="0" w:firstLine="0" w:firstLineChars="0"/>
              <w:jc w:val="center"/>
              <w:rPr>
                <w:rFonts w:hint="eastAsia" w:ascii="宋体" w:hAnsi="宋体" w:eastAsia="宋体" w:cs="宋体"/>
                <w:b/>
                <w:bCs/>
                <w:sz w:val="24"/>
                <w:szCs w:val="24"/>
              </w:rPr>
            </w:pPr>
            <w:r>
              <w:rPr>
                <w:rFonts w:hint="eastAsia" w:ascii="宋体" w:hAnsi="宋体" w:eastAsia="宋体" w:cs="宋体"/>
                <w:sz w:val="24"/>
                <w:szCs w:val="24"/>
              </w:rPr>
              <w:t>信息</w:t>
            </w:r>
          </w:p>
        </w:tc>
        <w:tc>
          <w:tcPr>
            <w:tcW w:w="2590" w:type="dxa"/>
            <w:noWrap w:val="0"/>
            <w:vAlign w:val="center"/>
          </w:tcPr>
          <w:p w14:paraId="1F1846E5">
            <w:pPr>
              <w:spacing w:line="300" w:lineRule="exact"/>
              <w:rPr>
                <w:rFonts w:hint="eastAsia" w:ascii="宋体" w:hAnsi="宋体" w:eastAsia="宋体" w:cs="宋体"/>
                <w:sz w:val="24"/>
                <w:szCs w:val="24"/>
              </w:rPr>
            </w:pPr>
            <w:r>
              <w:rPr>
                <w:rFonts w:hint="eastAsia" w:ascii="宋体" w:hAnsi="宋体" w:eastAsia="宋体" w:cs="宋体"/>
                <w:sz w:val="24"/>
                <w:szCs w:val="24"/>
              </w:rPr>
              <w:t>危规号：</w:t>
            </w:r>
          </w:p>
        </w:tc>
        <w:tc>
          <w:tcPr>
            <w:tcW w:w="0" w:type="auto"/>
            <w:noWrap w:val="0"/>
            <w:vAlign w:val="center"/>
          </w:tcPr>
          <w:p w14:paraId="5CE590D9">
            <w:pPr>
              <w:spacing w:line="300" w:lineRule="exact"/>
              <w:rPr>
                <w:rFonts w:hint="eastAsia" w:ascii="宋体" w:hAnsi="宋体" w:eastAsia="宋体" w:cs="宋体"/>
                <w:sz w:val="24"/>
                <w:szCs w:val="24"/>
              </w:rPr>
            </w:pPr>
            <w:r>
              <w:rPr>
                <w:rFonts w:hint="eastAsia" w:ascii="宋体" w:hAnsi="宋体" w:eastAsia="宋体" w:cs="宋体"/>
                <w:sz w:val="24"/>
                <w:szCs w:val="24"/>
              </w:rPr>
              <w:t>UN编号：</w:t>
            </w:r>
          </w:p>
        </w:tc>
        <w:tc>
          <w:tcPr>
            <w:tcW w:w="0" w:type="auto"/>
            <w:noWrap w:val="0"/>
            <w:vAlign w:val="center"/>
          </w:tcPr>
          <w:p w14:paraId="49851863">
            <w:pPr>
              <w:spacing w:line="300" w:lineRule="exac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包装分类：</w:t>
            </w:r>
          </w:p>
        </w:tc>
        <w:tc>
          <w:tcPr>
            <w:tcW w:w="0" w:type="auto"/>
            <w:noWrap w:val="0"/>
            <w:vAlign w:val="center"/>
          </w:tcPr>
          <w:p w14:paraId="322D5610">
            <w:pPr>
              <w:spacing w:line="300" w:lineRule="exac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包装标志：</w:t>
            </w:r>
          </w:p>
        </w:tc>
      </w:tr>
      <w:tr w14:paraId="4596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14" w:type="dxa"/>
            <w:vMerge w:val="continue"/>
            <w:noWrap w:val="0"/>
            <w:vAlign w:val="center"/>
          </w:tcPr>
          <w:p w14:paraId="2EABE12F">
            <w:pPr>
              <w:spacing w:line="300" w:lineRule="exact"/>
              <w:jc w:val="center"/>
              <w:rPr>
                <w:rFonts w:hint="eastAsia" w:ascii="宋体" w:hAnsi="宋体" w:eastAsia="宋体" w:cs="宋体"/>
                <w:b/>
                <w:bCs/>
                <w:sz w:val="24"/>
                <w:szCs w:val="24"/>
              </w:rPr>
            </w:pPr>
          </w:p>
        </w:tc>
        <w:tc>
          <w:tcPr>
            <w:tcW w:w="7947" w:type="dxa"/>
            <w:gridSpan w:val="4"/>
            <w:noWrap w:val="0"/>
            <w:vAlign w:val="center"/>
          </w:tcPr>
          <w:p w14:paraId="5AAFB48F">
            <w:pPr>
              <w:spacing w:line="300" w:lineRule="exact"/>
              <w:rPr>
                <w:rFonts w:hint="eastAsia" w:ascii="宋体" w:hAnsi="宋体" w:eastAsia="宋体" w:cs="宋体"/>
                <w:sz w:val="24"/>
                <w:szCs w:val="24"/>
              </w:rPr>
            </w:pPr>
            <w:r>
              <w:rPr>
                <w:rFonts w:hint="eastAsia" w:ascii="宋体" w:hAnsi="宋体" w:eastAsia="宋体" w:cs="宋体"/>
                <w:sz w:val="24"/>
                <w:szCs w:val="24"/>
              </w:rPr>
              <w:t>包装方法：运输前应先检查包装容器是否完整、密封，运输过程中要确保容器不泄露、不倒塌、不坠落、不损坏。运输时运输车辆应配备相应品种和数量的消防器材及泄漏应急处理设备。夏季最好早晚运输。运输时所用的槽（罐0车应有接地链，槽内可设孔隔板减少振荡产生静电。严禁与氧化剂、卤素、食用化学品等混装混运。运输途中应防曝晒、雨淋，防高温。中途停留时应远离火种、热源、高温区。装运改物品的车辆排气管必须配备阻火装置，禁止使用易产生火花的机械设备和工具装卸。运输车船必须彻底清洗、消毒，否则不得装运其他物品。运船时，配装位置应远离卧室、厨房，并与机舱、电源、火源等部位隔离。公路运输时要按规定路线行驶。</w:t>
            </w:r>
          </w:p>
        </w:tc>
      </w:tr>
    </w:tbl>
    <w:p w14:paraId="420A2438">
      <w:pPr>
        <w:bidi w:val="0"/>
        <w:rPr>
          <w:rFonts w:hint="eastAsia"/>
          <w:highlight w:val="yellow"/>
          <w:lang w:val="en-US" w:eastAsia="zh-CN"/>
        </w:rPr>
      </w:pPr>
      <w:r>
        <w:rPr>
          <w:rFonts w:hint="eastAsia"/>
          <w:highlight w:val="yellow"/>
          <w:lang w:val="en-US" w:eastAsia="zh-CN"/>
        </w:rPr>
        <w:t>综上所述，酒店</w:t>
      </w:r>
      <w:r>
        <w:rPr>
          <w:rFonts w:hint="default"/>
          <w:highlight w:val="yellow"/>
          <w:lang w:val="en-US" w:eastAsia="zh-CN"/>
        </w:rPr>
        <w:t>现有</w:t>
      </w:r>
      <w:r>
        <w:rPr>
          <w:rFonts w:hint="eastAsia"/>
          <w:highlight w:val="yellow"/>
          <w:lang w:val="en-US" w:eastAsia="zh-CN"/>
        </w:rPr>
        <w:t>危险化学品</w:t>
      </w:r>
      <w:r>
        <w:rPr>
          <w:rFonts w:hint="default"/>
          <w:highlight w:val="yellow"/>
          <w:lang w:val="en-US" w:eastAsia="zh-CN"/>
        </w:rPr>
        <w:t>有害因素</w:t>
      </w:r>
      <w:r>
        <w:rPr>
          <w:rFonts w:hint="eastAsia"/>
          <w:highlight w:val="yellow"/>
          <w:lang w:val="en-US" w:eastAsia="zh-CN"/>
        </w:rPr>
        <w:t>易导致的事故类型</w:t>
      </w:r>
      <w:r>
        <w:rPr>
          <w:rFonts w:hint="default"/>
          <w:highlight w:val="yellow"/>
          <w:lang w:val="en-US" w:eastAsia="zh-CN"/>
        </w:rPr>
        <w:t>主要有火灾、爆炸、中毒和窒息等。</w:t>
      </w:r>
    </w:p>
    <w:p w14:paraId="0EB3C1A3">
      <w:pPr>
        <w:pStyle w:val="4"/>
        <w:bidi w:val="0"/>
        <w:rPr>
          <w:rFonts w:hint="default"/>
          <w:color w:val="auto"/>
        </w:rPr>
      </w:pPr>
      <w:bookmarkStart w:id="2" w:name="_Toc4672"/>
      <w:r>
        <w:rPr>
          <w:rFonts w:hint="eastAsia" w:cs="Times New Roman"/>
          <w:color w:val="auto"/>
          <w:highlight w:val="none"/>
          <w:lang w:val="en-US" w:eastAsia="zh-CN"/>
        </w:rPr>
        <w:t>总平面布置及建（构）筑物的危险有害因素分析</w:t>
      </w:r>
      <w:bookmarkEnd w:id="2"/>
    </w:p>
    <w:p w14:paraId="0F50D22E">
      <w:pPr>
        <w:numPr>
          <w:ilvl w:val="0"/>
          <w:numId w:val="2"/>
        </w:numPr>
        <w:ind w:firstLine="655"/>
      </w:pPr>
      <w:r>
        <w:rPr>
          <w:rFonts w:hint="eastAsia"/>
          <w:lang w:eastAsia="zh-CN"/>
        </w:rPr>
        <w:t>酒店</w:t>
      </w:r>
      <w:r>
        <w:t>的</w:t>
      </w:r>
      <w:r>
        <w:rPr>
          <w:rFonts w:hint="eastAsia"/>
        </w:rPr>
        <w:t>楼梯</w:t>
      </w:r>
      <w:r>
        <w:t>安装有扶手护栏，如果边缘处护栏出现松动或底部锈蚀，员工手扶或者倚靠时，手扶栏杆容易发生掉落，可能造成高处坠落事故。</w:t>
      </w:r>
    </w:p>
    <w:p w14:paraId="1C111435">
      <w:pPr>
        <w:numPr>
          <w:ilvl w:val="0"/>
          <w:numId w:val="2"/>
        </w:numPr>
        <w:ind w:firstLine="655"/>
      </w:pPr>
      <w:r>
        <w:t>如果</w:t>
      </w:r>
      <w:r>
        <w:rPr>
          <w:rFonts w:hint="eastAsia"/>
          <w:lang w:eastAsia="zh-CN"/>
        </w:rPr>
        <w:t>酒店</w:t>
      </w:r>
      <w:r>
        <w:t>内的消防</w:t>
      </w:r>
      <w:r>
        <w:rPr>
          <w:rFonts w:hint="eastAsia"/>
          <w:lang w:eastAsia="zh-CN"/>
        </w:rPr>
        <w:t>设备</w:t>
      </w:r>
      <w:r>
        <w:t>设施设置不</w:t>
      </w:r>
      <w:r>
        <w:rPr>
          <w:rFonts w:hint="eastAsia"/>
        </w:rPr>
        <w:t>足</w:t>
      </w:r>
      <w:r>
        <w:t>，</w:t>
      </w:r>
      <w:r>
        <w:rPr>
          <w:rFonts w:hint="eastAsia"/>
        </w:rPr>
        <w:t>不能及时处置火灾，</w:t>
      </w:r>
      <w:r>
        <w:t>有可能</w:t>
      </w:r>
      <w:r>
        <w:rPr>
          <w:rFonts w:hint="eastAsia"/>
        </w:rPr>
        <w:t>引发</w:t>
      </w:r>
      <w:r>
        <w:t>火</w:t>
      </w:r>
      <w:r>
        <w:rPr>
          <w:rFonts w:hint="eastAsia"/>
        </w:rPr>
        <w:t>势扩大</w:t>
      </w:r>
      <w:r>
        <w:t>。</w:t>
      </w:r>
    </w:p>
    <w:p w14:paraId="5D3B3474">
      <w:pPr>
        <w:numPr>
          <w:ilvl w:val="0"/>
          <w:numId w:val="2"/>
        </w:numPr>
        <w:ind w:firstLine="655"/>
        <w:rPr>
          <w:rFonts w:hint="eastAsia"/>
          <w:lang w:eastAsia="zh-CN"/>
        </w:rPr>
      </w:pPr>
      <w:r>
        <w:t>建（构）筑物若未按规范要求设置防雷接地设施，容易因雷电火花发生火灾事故。</w:t>
      </w:r>
    </w:p>
    <w:p w14:paraId="78ED8C20">
      <w:pPr>
        <w:rPr>
          <w:rFonts w:hint="default"/>
        </w:rPr>
      </w:pPr>
      <w:r>
        <w:t>综上所述，总平面布置及建（构）筑物存在的主要危险为火灾、高处坠落。</w:t>
      </w:r>
    </w:p>
    <w:p w14:paraId="6B9EE219">
      <w:pPr>
        <w:pStyle w:val="4"/>
        <w:bidi w:val="0"/>
        <w:rPr>
          <w:rFonts w:hint="default"/>
        </w:rPr>
      </w:pPr>
      <w:bookmarkStart w:id="3" w:name="_Toc28623"/>
      <w:bookmarkStart w:id="4" w:name="_Toc12743"/>
      <w:r>
        <w:rPr>
          <w:rFonts w:hint="eastAsia"/>
        </w:rPr>
        <w:t>配电设施危险有害因素辨识分析</w:t>
      </w:r>
      <w:bookmarkEnd w:id="3"/>
      <w:bookmarkEnd w:id="4"/>
    </w:p>
    <w:p w14:paraId="3C1B3FA0">
      <w:pPr>
        <w:ind w:firstLine="655"/>
      </w:pPr>
      <w:r>
        <w:rPr>
          <w:rFonts w:hint="eastAsia"/>
          <w:lang w:eastAsia="zh-CN"/>
        </w:rPr>
        <w:t>酒店</w:t>
      </w:r>
      <w:r>
        <w:rPr>
          <w:rFonts w:hint="eastAsia"/>
        </w:rPr>
        <w:t>的配电柜、配电箱、电气线路、开关、灯具</w:t>
      </w:r>
      <w:r>
        <w:rPr>
          <w:rFonts w:hint="eastAsia"/>
          <w:lang w:eastAsia="zh-CN"/>
        </w:rPr>
        <w:t>、电视、空调</w:t>
      </w:r>
      <w:r>
        <w:rPr>
          <w:rFonts w:hint="eastAsia"/>
        </w:rPr>
        <w:t>等各类电气设备，如果存在设备缺陷、安装不当等导致电气设施运行中产生的电流热量异常容易引起电气火灾。</w:t>
      </w:r>
    </w:p>
    <w:p w14:paraId="57886A8D">
      <w:pPr>
        <w:numPr>
          <w:ilvl w:val="0"/>
          <w:numId w:val="3"/>
        </w:numPr>
        <w:ind w:firstLine="655"/>
      </w:pPr>
      <w:r>
        <w:rPr>
          <w:rFonts w:hint="eastAsia"/>
        </w:rPr>
        <w:t>电流热量：电流通过电气设备时要消耗电能，它以发热的形式将电能消耗掉。这部分热量不仅使导体本身温度升高，而且同时对周围其他物质和材料进行加热，从而引起火灾。</w:t>
      </w:r>
    </w:p>
    <w:p w14:paraId="366FE3D2">
      <w:pPr>
        <w:ind w:firstLine="655"/>
      </w:pPr>
      <w:r>
        <w:rPr>
          <w:rFonts w:hint="eastAsia"/>
        </w:rPr>
        <w:t>电气设备正常的发热是允许的，电气系统及装置的不正确使用，易引起运行中发热、绝缘下降或接头绝缘击穿、短路和高温及雷击，直接导致火灾的发生。</w:t>
      </w:r>
    </w:p>
    <w:p w14:paraId="4DAE42BA">
      <w:pPr>
        <w:numPr>
          <w:ilvl w:val="0"/>
          <w:numId w:val="3"/>
        </w:numPr>
        <w:ind w:firstLine="655"/>
      </w:pPr>
      <w:r>
        <w:rPr>
          <w:rFonts w:hint="eastAsia"/>
        </w:rPr>
        <w:t>电气火花：</w:t>
      </w:r>
      <w:r>
        <w:rPr>
          <w:rFonts w:hint="eastAsia"/>
          <w:lang w:eastAsia="zh-CN"/>
        </w:rPr>
        <w:t>酒店</w:t>
      </w:r>
      <w:r>
        <w:rPr>
          <w:rFonts w:hint="eastAsia"/>
        </w:rPr>
        <w:t>内电气设备较多，电缆线路密集，用电量大，当电缆线路绝缘层损坏、导线断裂、线路碰线，容易造成短路，出现电气火花，引起火灾。</w:t>
      </w:r>
    </w:p>
    <w:p w14:paraId="5B07F01C">
      <w:pPr>
        <w:numPr>
          <w:ilvl w:val="0"/>
          <w:numId w:val="3"/>
        </w:numPr>
        <w:ind w:firstLine="655"/>
      </w:pPr>
      <w:r>
        <w:rPr>
          <w:rFonts w:hint="eastAsia"/>
        </w:rPr>
        <w:t>触电：电气系统及装置的选型、电压等级、工作环境、安全距离、电气隔离及接地装置未按规范规定使用易造成触电事故。如配电系统不合理引起电源反送、电气装置使用的绝缘、电压等级不正确而造成绝缘的击穿、老化、机械损坏而失效；电气设备未装设屏护装置将带电体与外界相隔离；带电体与地面、其它带电体和人体范围之间的安全距离若不符合要求：特殊环境的低压电气设备未装漏电保护装置或设计不当；用电设备金属外壳保护接地不良及人员操作、监护、防护缺陷等等，均可能导致触电。</w:t>
      </w:r>
    </w:p>
    <w:p w14:paraId="1FFD5AC1">
      <w:pPr>
        <w:numPr>
          <w:ilvl w:val="0"/>
          <w:numId w:val="3"/>
        </w:numPr>
        <w:ind w:firstLine="655"/>
      </w:pPr>
      <w:r>
        <w:rPr>
          <w:rFonts w:hint="eastAsia"/>
        </w:rPr>
        <w:t>雷电事故：在雷电放电时，能产生高达数万伏甚至数十万伏的冲击电压，足以烧毁电气设备或将输电线路绝缘击穿而发生短路，从而导致电气火灾的发生。应该设置防雷设施的场所，没有安装避雷设施或避雷设施没有按防雷级别设置，引发雷击火灾事故。</w:t>
      </w:r>
    </w:p>
    <w:p w14:paraId="16095662">
      <w:pPr>
        <w:rPr>
          <w:rFonts w:hint="eastAsia"/>
        </w:rPr>
      </w:pPr>
      <w:r>
        <w:rPr>
          <w:rFonts w:hint="eastAsia"/>
        </w:rPr>
        <w:t>综上所述，供配电设施存在的危险因素有：火灾、触电。</w:t>
      </w:r>
    </w:p>
    <w:p w14:paraId="7B77D2D4">
      <w:pPr>
        <w:pStyle w:val="4"/>
        <w:bidi w:val="0"/>
        <w:rPr>
          <w:rFonts w:hint="default"/>
        </w:rPr>
      </w:pPr>
      <w:bookmarkStart w:id="5" w:name="_Toc22442"/>
      <w:bookmarkStart w:id="6" w:name="_Toc11736"/>
      <w:r>
        <w:rPr>
          <w:rFonts w:hint="eastAsia"/>
        </w:rPr>
        <w:t>消防设施危险有害因素分析</w:t>
      </w:r>
      <w:bookmarkEnd w:id="5"/>
      <w:bookmarkEnd w:id="6"/>
    </w:p>
    <w:p w14:paraId="087FA3C2">
      <w:pPr>
        <w:numPr>
          <w:ilvl w:val="0"/>
          <w:numId w:val="4"/>
        </w:numPr>
        <w:bidi w:val="0"/>
        <w:rPr>
          <w:rFonts w:hint="default"/>
          <w:color w:val="auto"/>
        </w:rPr>
      </w:pPr>
      <w:r>
        <w:rPr>
          <w:rFonts w:hint="default"/>
          <w:color w:val="auto"/>
        </w:rPr>
        <w:t>若未按要求设计、设置足够的消防设施、消防供水、消防供电，没有正确配置灭火器材，造成无法救火或耽误救火时机，可能造成重大火灾、爆炸事故。</w:t>
      </w:r>
    </w:p>
    <w:p w14:paraId="051B9AC2">
      <w:pPr>
        <w:numPr>
          <w:ilvl w:val="0"/>
          <w:numId w:val="4"/>
        </w:numPr>
        <w:bidi w:val="0"/>
        <w:rPr>
          <w:rFonts w:hint="default"/>
          <w:color w:val="auto"/>
        </w:rPr>
      </w:pPr>
      <w:r>
        <w:rPr>
          <w:rFonts w:hint="default"/>
          <w:color w:val="auto"/>
        </w:rPr>
        <w:t>发生火灾时，若供给的消防水量不足，将延误救火时间，造成事故扩大。</w:t>
      </w:r>
    </w:p>
    <w:p w14:paraId="091F8139">
      <w:pPr>
        <w:numPr>
          <w:ilvl w:val="0"/>
          <w:numId w:val="4"/>
        </w:numPr>
        <w:bidi w:val="0"/>
        <w:rPr>
          <w:rFonts w:hint="default"/>
          <w:color w:val="auto"/>
        </w:rPr>
      </w:pPr>
      <w:r>
        <w:rPr>
          <w:rFonts w:hint="default"/>
          <w:color w:val="auto"/>
        </w:rPr>
        <w:t>若自动灭火系统的报警系统失效，不能及时发现隐情，将导致事故扩大。</w:t>
      </w:r>
    </w:p>
    <w:p w14:paraId="0B672D1D">
      <w:pPr>
        <w:numPr>
          <w:ilvl w:val="0"/>
          <w:numId w:val="4"/>
        </w:numPr>
        <w:bidi w:val="0"/>
        <w:rPr>
          <w:rFonts w:hint="default"/>
          <w:color w:val="auto"/>
        </w:rPr>
      </w:pPr>
      <w:r>
        <w:rPr>
          <w:rFonts w:hint="default"/>
          <w:color w:val="auto"/>
        </w:rPr>
        <w:t>若所设消防设施日常管理、维护不当等，在发生事故时不能及时启动消防设施，将不能及时进行扑救，造成事故扩大。</w:t>
      </w:r>
    </w:p>
    <w:p w14:paraId="44D0326B">
      <w:pPr>
        <w:numPr>
          <w:ilvl w:val="0"/>
          <w:numId w:val="4"/>
        </w:numPr>
        <w:bidi w:val="0"/>
        <w:rPr>
          <w:rFonts w:hint="default"/>
          <w:color w:val="auto"/>
        </w:rPr>
      </w:pPr>
      <w:r>
        <w:rPr>
          <w:rFonts w:hint="default"/>
          <w:color w:val="auto"/>
        </w:rPr>
        <w:t>若在各生产作业场所配备的消防设施与该场所可能发生的火灾事故类别不相配，一旦发生火灾事故，不能有效扑救火灾，造成事故扩大。</w:t>
      </w:r>
    </w:p>
    <w:p w14:paraId="23104BD5">
      <w:pPr>
        <w:numPr>
          <w:ilvl w:val="0"/>
          <w:numId w:val="4"/>
        </w:numPr>
        <w:bidi w:val="0"/>
        <w:rPr>
          <w:rFonts w:hint="default" w:ascii="Times New Roman" w:hAnsi="Times New Roman" w:cs="Times New Roman"/>
          <w:snapToGrid w:val="0"/>
          <w:color w:val="auto"/>
          <w:kern w:val="0"/>
          <w:highlight w:val="none"/>
        </w:rPr>
      </w:pPr>
      <w:r>
        <w:rPr>
          <w:rFonts w:hint="default"/>
          <w:color w:val="auto"/>
        </w:rPr>
        <w:t>因灭火人员不会熟练使用灭火器材，会延误灭火时机，扩大损失。</w:t>
      </w:r>
    </w:p>
    <w:p w14:paraId="02D7E827">
      <w:pPr>
        <w:numPr>
          <w:ilvl w:val="0"/>
          <w:numId w:val="4"/>
        </w:numPr>
        <w:bidi w:val="0"/>
        <w:rPr>
          <w:rFonts w:hint="eastAsia"/>
        </w:rPr>
      </w:pPr>
      <w:r>
        <w:rPr>
          <w:rFonts w:hint="default"/>
          <w:color w:val="auto"/>
        </w:rPr>
        <w:t>若发生火灾等事故时，区域内的消防通道堵塞，影响消防救援，会造成事故扩大。</w:t>
      </w:r>
    </w:p>
    <w:p w14:paraId="1C9D76C6">
      <w:pPr>
        <w:ind w:firstLine="655"/>
        <w:rPr>
          <w:rFonts w:hint="eastAsia"/>
        </w:rPr>
      </w:pPr>
      <w:r>
        <w:rPr>
          <w:rFonts w:hint="eastAsia"/>
        </w:rPr>
        <w:t>综上所述，消防设施存在的危险因素为火灾。</w:t>
      </w:r>
    </w:p>
    <w:p w14:paraId="517ED1B1">
      <w:pPr>
        <w:pStyle w:val="4"/>
        <w:bidi w:val="0"/>
        <w:rPr>
          <w:rFonts w:hint="default"/>
        </w:rPr>
      </w:pPr>
      <w:bookmarkStart w:id="7" w:name="_Toc7286"/>
      <w:bookmarkStart w:id="8" w:name="_Toc21005"/>
      <w:r>
        <w:rPr>
          <w:rFonts w:hint="eastAsia"/>
        </w:rPr>
        <w:t>检维修施工过程危险有害因素分析</w:t>
      </w:r>
      <w:bookmarkEnd w:id="7"/>
      <w:bookmarkEnd w:id="8"/>
    </w:p>
    <w:p w14:paraId="115CB47B">
      <w:pPr>
        <w:numPr>
          <w:ilvl w:val="0"/>
          <w:numId w:val="5"/>
        </w:numPr>
        <w:ind w:firstLine="655"/>
      </w:pPr>
      <w:r>
        <w:rPr>
          <w:rFonts w:hint="eastAsia"/>
        </w:rPr>
        <w:t>电气作业：由于电气设备保护措施不当或违章操作有可能发生触电伤害事故；同时用电设备接触不良产生电火花易引燃周围可燃物，造成火灾事故。</w:t>
      </w:r>
    </w:p>
    <w:p w14:paraId="31BF621E">
      <w:pPr>
        <w:numPr>
          <w:ilvl w:val="0"/>
          <w:numId w:val="5"/>
        </w:numPr>
        <w:ind w:firstLine="655"/>
      </w:pPr>
      <w:r>
        <w:rPr>
          <w:rFonts w:hint="eastAsia"/>
        </w:rPr>
        <w:t>高处作业：工作人员</w:t>
      </w:r>
      <w:r>
        <w:rPr>
          <w:rFonts w:hint="eastAsia"/>
          <w:lang w:eastAsia="zh-CN"/>
        </w:rPr>
        <w:t>在冷却塔等高处对设备设施</w:t>
      </w:r>
      <w:r>
        <w:rPr>
          <w:rFonts w:hint="eastAsia"/>
        </w:rPr>
        <w:t>进行检维修时，如果违章操作或者安全防护设施出现缺陷，则可能发生高处坠落事故。</w:t>
      </w:r>
    </w:p>
    <w:p w14:paraId="0D9D0C96">
      <w:pPr>
        <w:numPr>
          <w:ilvl w:val="0"/>
          <w:numId w:val="5"/>
        </w:numPr>
        <w:ind w:firstLine="655"/>
        <w:rPr>
          <w:b/>
          <w:bCs/>
        </w:rPr>
      </w:pPr>
      <w:r>
        <w:rPr>
          <w:rFonts w:hint="eastAsia"/>
        </w:rPr>
        <w:t>机械伤害：空调、排风机或厨房设备检维修人员在作业前未对设备进行停机，或者违规使用维修设备，可能会造成机械伤害事故的发生。</w:t>
      </w:r>
    </w:p>
    <w:p w14:paraId="3A451D58">
      <w:pPr>
        <w:numPr>
          <w:ilvl w:val="0"/>
          <w:numId w:val="5"/>
        </w:numPr>
        <w:ind w:firstLine="655"/>
      </w:pPr>
      <w:r>
        <w:rPr>
          <w:rFonts w:hint="eastAsia" w:cs="仿宋"/>
          <w:kern w:val="2"/>
          <w:sz w:val="32"/>
          <w:szCs w:val="32"/>
          <w:highlight w:val="none"/>
          <w:lang w:val="en-US" w:eastAsia="zh-CN" w:bidi="ar-SA"/>
        </w:rPr>
        <w:t>中毒和窒息：公司的消防水箱、生活水箱以及化粪池、隔油池，维修检修人员在</w:t>
      </w:r>
      <w:r>
        <w:rPr>
          <w:rFonts w:hint="eastAsia"/>
          <w:highlight w:val="none"/>
          <w:lang w:val="en-US" w:eastAsia="zh-CN"/>
        </w:rPr>
        <w:t>作业前未办理有限空间作业许可、作业时作业现场未设置监护人、未进行通风换气和氧含量检测，则有可能发生人员中毒和窒息事故。</w:t>
      </w:r>
    </w:p>
    <w:p w14:paraId="4997F940">
      <w:pPr>
        <w:numPr>
          <w:ilvl w:val="0"/>
          <w:numId w:val="5"/>
        </w:numPr>
        <w:ind w:firstLine="655"/>
      </w:pPr>
      <w:r>
        <w:rPr>
          <w:rFonts w:hint="eastAsia"/>
          <w:lang w:eastAsia="zh-CN"/>
        </w:rPr>
        <w:t>爆炸：化粪池、隔油池、锅炉房存在的天然气、甲烷或沼气等易燃气体，当检维修人员作业</w:t>
      </w:r>
      <w:r>
        <w:rPr>
          <w:rFonts w:hint="eastAsia"/>
          <w:lang w:val="en-US" w:eastAsia="zh-CN"/>
        </w:rPr>
        <w:t>时，如遇烟头、静电或明火作业时，可能导致火灾甚至爆炸。</w:t>
      </w:r>
    </w:p>
    <w:p w14:paraId="052AF25E">
      <w:pPr>
        <w:ind w:firstLine="655"/>
        <w:rPr>
          <w:rFonts w:hint="eastAsia"/>
        </w:rPr>
      </w:pPr>
      <w:r>
        <w:rPr>
          <w:rFonts w:hint="eastAsia"/>
        </w:rPr>
        <w:t>综上所述，检维修施工过程中存在的危险因素有：火灾、</w:t>
      </w:r>
      <w:r>
        <w:rPr>
          <w:rFonts w:hint="eastAsia"/>
          <w:lang w:eastAsia="zh-CN"/>
        </w:rPr>
        <w:t>爆炸、</w:t>
      </w:r>
      <w:r>
        <w:rPr>
          <w:rFonts w:hint="eastAsia"/>
        </w:rPr>
        <w:t>触电、高处坠落、机械伤害</w:t>
      </w:r>
      <w:r>
        <w:rPr>
          <w:rFonts w:hint="eastAsia"/>
          <w:lang w:eastAsia="zh-CN"/>
        </w:rPr>
        <w:t>、中毒和窒息</w:t>
      </w:r>
      <w:r>
        <w:rPr>
          <w:rFonts w:hint="eastAsia"/>
        </w:rPr>
        <w:t>。</w:t>
      </w:r>
    </w:p>
    <w:p w14:paraId="6826DE76">
      <w:pPr>
        <w:pStyle w:val="4"/>
        <w:bidi w:val="0"/>
        <w:rPr>
          <w:rFonts w:hint="default"/>
        </w:rPr>
      </w:pPr>
      <w:bookmarkStart w:id="9" w:name="_Toc25395"/>
      <w:bookmarkStart w:id="10" w:name="_Toc18980"/>
      <w:bookmarkStart w:id="11" w:name="_Toc10238"/>
      <w:bookmarkStart w:id="12" w:name="_Toc5054"/>
      <w:bookmarkStart w:id="13" w:name="_Toc10022"/>
      <w:bookmarkStart w:id="14" w:name="_Toc30475"/>
      <w:r>
        <w:rPr>
          <w:rFonts w:hint="eastAsia"/>
        </w:rPr>
        <w:t>设备、装置危险有害因素分析</w:t>
      </w:r>
      <w:bookmarkEnd w:id="9"/>
      <w:bookmarkEnd w:id="10"/>
      <w:bookmarkEnd w:id="11"/>
      <w:bookmarkEnd w:id="12"/>
      <w:bookmarkEnd w:id="13"/>
      <w:bookmarkEnd w:id="14"/>
    </w:p>
    <w:p w14:paraId="1B6593E0">
      <w:pPr>
        <w:pStyle w:val="5"/>
        <w:numPr>
          <w:ilvl w:val="2"/>
          <w:numId w:val="0"/>
        </w:numPr>
        <w:ind w:leftChars="200"/>
      </w:pPr>
      <w:r>
        <w:rPr>
          <w:rFonts w:hint="eastAsia"/>
          <w:lang w:eastAsia="zh-CN"/>
        </w:rPr>
        <w:t>（</w:t>
      </w:r>
      <w:r>
        <w:rPr>
          <w:rFonts w:hint="eastAsia"/>
          <w:lang w:val="en-US" w:eastAsia="zh-CN"/>
        </w:rPr>
        <w:t>1</w:t>
      </w:r>
      <w:r>
        <w:rPr>
          <w:rFonts w:hint="eastAsia"/>
          <w:lang w:eastAsia="zh-CN"/>
        </w:rPr>
        <w:t>）</w:t>
      </w:r>
      <w:r>
        <w:rPr>
          <w:rFonts w:hint="eastAsia"/>
        </w:rPr>
        <w:t>电气设备</w:t>
      </w:r>
    </w:p>
    <w:p w14:paraId="51705C8C">
      <w:pPr>
        <w:ind w:firstLine="655"/>
      </w:pPr>
      <w:r>
        <w:rPr>
          <w:rFonts w:hint="eastAsia"/>
        </w:rPr>
        <w:t>触电伤害：触电是电流的能量对人体的伤害，分为电击和电伤。电击时电流通过人体内部，破坏人的心脏、神经系统、肺部的正常工作，可导致人死亡。通过人体的致命电流为50mA。人体触及带电导线、设备或其他带电体就会产生触电事故。触电方式有单相触电、两相触电和跨步电压触电。</w:t>
      </w:r>
    </w:p>
    <w:p w14:paraId="52D34FC6">
      <w:pPr>
        <w:ind w:firstLine="655"/>
      </w:pPr>
      <w:r>
        <w:rPr>
          <w:rFonts w:hint="eastAsia"/>
        </w:rPr>
        <w:t>电伤是电流的热效应、化学效应和机械效应对人体外部造成的局部伤害，包括：电弧烧伤、烫伤、电烙印、皮肤金属化等。</w:t>
      </w:r>
    </w:p>
    <w:p w14:paraId="518BCF00">
      <w:pPr>
        <w:ind w:firstLine="655"/>
      </w:pPr>
      <w:r>
        <w:rPr>
          <w:rFonts w:hint="eastAsia"/>
        </w:rPr>
        <w:t>短路：电路相线之间直接接通，或者相线与接地物体之间直接接通。外电路电阻几乎接近于零时，电源则被短路。发生短路时，电压突然下降，电流急剧增大，可达几万或几十万安培，产生很大的电动力和很高的温度，烧毁设备，造成停电。</w:t>
      </w:r>
    </w:p>
    <w:p w14:paraId="798059D6">
      <w:pPr>
        <w:ind w:firstLine="655"/>
      </w:pPr>
      <w:r>
        <w:rPr>
          <w:rFonts w:hint="eastAsia"/>
        </w:rPr>
        <w:t>电流热效应：电流通过导体时就会发热，这也是电流的性质之一。电流强度越大，电阻越大，转换的热能就越大。除此之外，交变电流的交变磁场还会在铁磁材料中，由于涡流损耗和磁滞损耗产生热量。以上现象说明，电路和电气设备运行时总是要发热的。电流的热效应是电流和电气设备事故的根源之一。由于电路和电气设备过度发热，热能会成为点火源，引发火灾或爆炸。如果设备散热不良会导致烫伤人，烧毁设备。过度发热还会导致绝缘材料产受到破坏，引起短路事故。电路或电气设备异常发热往往是由于过载、散热不良、接触不良等原因造成的。</w:t>
      </w:r>
    </w:p>
    <w:p w14:paraId="44107031">
      <w:pPr>
        <w:ind w:firstLine="655"/>
      </w:pPr>
      <w:r>
        <w:rPr>
          <w:rFonts w:hint="eastAsia"/>
        </w:rPr>
        <w:t>电火花和电弧：电火花是由电极间的击穿放电产生的。电弧是大量持续的电火花汇集而成的。电火花包括工作电火花和事故电火花。电气设备正常工作时或正常操作过程中会产生火花，称为工作火花。如开关或接触器开合时产生的电火花，插销拔出或插入时产生的电火花。事故电火花是线路和设备发生故障时出现的火花。如导电线路连接松脱产生的火花、保险丝熔断时产生的火花、过电压放电火花、静电火花、感应电火花等。一般情况下，电火花温度很高，特别是电弧，温度可高达6000℃。同时，电火花和电弧不仅能引起可燃物燃烧，还能使金属熔化、飞溅。</w:t>
      </w:r>
    </w:p>
    <w:p w14:paraId="50E8E2D9">
      <w:pPr>
        <w:ind w:firstLine="655"/>
      </w:pPr>
      <w:r>
        <w:rPr>
          <w:rFonts w:hint="eastAsia"/>
          <w:lang w:eastAsia="zh-CN"/>
        </w:rPr>
        <w:t>酒店内</w:t>
      </w:r>
      <w:r>
        <w:rPr>
          <w:rFonts w:hint="eastAsia"/>
        </w:rPr>
        <w:t>电气设备的带电体未装设屏护装置与外界相隔离；带电体与地面、其它带电体和人体范围之间的安全距离若不符合要求：特殊环境的低压电气设备未安装漏电保护装置或设计不当；用电设备金属外壳保护接地不良及人员操作、监护、防护缺陷等等，均可能导致触电。用电设备在工作的过程中会将一部分电能转换为热能，如果出现设备超负荷工作、散热设施失效或设备周围环境通风不良等导致热能无法有效释放，出现积聚，则可能导致火灾事故的发生。</w:t>
      </w:r>
    </w:p>
    <w:p w14:paraId="05218A8D">
      <w:pPr>
        <w:pStyle w:val="5"/>
        <w:numPr>
          <w:ilvl w:val="2"/>
          <w:numId w:val="0"/>
        </w:numPr>
        <w:ind w:leftChars="200"/>
        <w:rPr>
          <w:rFonts w:hint="eastAsia"/>
        </w:rPr>
      </w:pPr>
      <w:r>
        <w:rPr>
          <w:rFonts w:hint="eastAsia"/>
          <w:lang w:eastAsia="zh-CN"/>
        </w:rPr>
        <w:t>（</w:t>
      </w:r>
      <w:r>
        <w:rPr>
          <w:rFonts w:hint="eastAsia"/>
          <w:lang w:val="en-US" w:eastAsia="zh-CN"/>
        </w:rPr>
        <w:t>2</w:t>
      </w:r>
      <w:r>
        <w:rPr>
          <w:rFonts w:hint="eastAsia"/>
          <w:lang w:eastAsia="zh-CN"/>
        </w:rPr>
        <w:t>）特种</w:t>
      </w:r>
      <w:r>
        <w:rPr>
          <w:rFonts w:hint="eastAsia"/>
        </w:rPr>
        <w:t>设备</w:t>
      </w:r>
    </w:p>
    <w:p w14:paraId="231E689A">
      <w:pPr>
        <w:bidi w:val="0"/>
        <w:rPr>
          <w:rFonts w:hint="eastAsia"/>
          <w:color w:val="auto"/>
        </w:rPr>
      </w:pPr>
      <w:r>
        <w:rPr>
          <w:rFonts w:hint="eastAsia"/>
          <w:color w:val="auto"/>
        </w:rPr>
        <w:t>电梯是指服务于建筑物内若干特定的楼层，其轿厢运行在至少两列垂直于水平面或与铅垂线倾斜角小于15°的刚性轨道运动的永久运输设备。</w:t>
      </w:r>
      <w:r>
        <w:rPr>
          <w:rFonts w:hint="eastAsia"/>
          <w:color w:val="auto"/>
          <w:lang w:eastAsia="zh-CN"/>
        </w:rPr>
        <w:t>起重</w:t>
      </w:r>
      <w:r>
        <w:rPr>
          <w:rFonts w:hint="eastAsia"/>
          <w:color w:val="auto"/>
        </w:rPr>
        <w:t>伤害事故类型主要有电梯困人故障；由于剪切、坠落、触电等原因造成的人身伤亡事故等。</w:t>
      </w:r>
    </w:p>
    <w:p w14:paraId="7363CA86">
      <w:pPr>
        <w:numPr>
          <w:ilvl w:val="0"/>
          <w:numId w:val="0"/>
        </w:numPr>
        <w:bidi w:val="0"/>
        <w:ind w:left="654" w:leftChars="0"/>
        <w:rPr>
          <w:rFonts w:hint="eastAsia"/>
          <w:color w:val="auto"/>
          <w:lang w:eastAsia="zh-CN"/>
        </w:rPr>
      </w:pPr>
      <w:r>
        <w:rPr>
          <w:rFonts w:hint="eastAsia"/>
          <w:color w:val="auto"/>
        </w:rPr>
        <w:t>造成</w:t>
      </w:r>
      <w:r>
        <w:rPr>
          <w:rFonts w:hint="eastAsia"/>
          <w:color w:val="auto"/>
          <w:lang w:eastAsia="zh-CN"/>
        </w:rPr>
        <w:t>起重</w:t>
      </w:r>
      <w:r>
        <w:rPr>
          <w:rFonts w:hint="eastAsia"/>
          <w:color w:val="auto"/>
        </w:rPr>
        <w:t>伤害事故的主要原因包括：机械故障电器故障</w:t>
      </w:r>
      <w:r>
        <w:rPr>
          <w:rFonts w:hint="eastAsia"/>
          <w:color w:val="auto"/>
          <w:lang w:eastAsia="zh-CN"/>
        </w:rPr>
        <w:t>或</w:t>
      </w:r>
    </w:p>
    <w:p w14:paraId="7AF37126">
      <w:pPr>
        <w:bidi w:val="0"/>
        <w:ind w:left="0" w:leftChars="0" w:firstLine="0" w:firstLineChars="0"/>
        <w:rPr>
          <w:rFonts w:hint="eastAsia"/>
          <w:color w:val="auto"/>
        </w:rPr>
      </w:pPr>
      <w:r>
        <w:rPr>
          <w:rFonts w:hint="eastAsia"/>
          <w:color w:val="auto"/>
        </w:rPr>
        <w:t>使用不当导致</w:t>
      </w:r>
      <w:r>
        <w:rPr>
          <w:rFonts w:hint="eastAsia"/>
          <w:color w:val="auto"/>
          <w:lang w:eastAsia="zh-CN"/>
        </w:rPr>
        <w:t>电</w:t>
      </w:r>
      <w:r>
        <w:rPr>
          <w:rFonts w:hint="eastAsia"/>
          <w:color w:val="auto"/>
        </w:rPr>
        <w:t>梯内人员被困。联锁装置失灵发生人员被挤压、剪切、撞击和发生坠落事故。设备维修缺失，电气裸露，人员被电击、造成触电。</w:t>
      </w:r>
    </w:p>
    <w:p w14:paraId="54FAF8B9">
      <w:pPr>
        <w:pStyle w:val="6"/>
        <w:numPr>
          <w:ilvl w:val="3"/>
          <w:numId w:val="0"/>
        </w:numPr>
        <w:bidi w:val="0"/>
        <w:ind w:leftChars="200"/>
        <w:rPr>
          <w:rFonts w:hint="default"/>
        </w:rPr>
      </w:pPr>
      <w:r>
        <w:rPr>
          <w:rFonts w:hint="eastAsia"/>
          <w:lang w:eastAsia="zh-CN"/>
        </w:rPr>
        <w:t>（</w:t>
      </w:r>
      <w:r>
        <w:rPr>
          <w:rFonts w:hint="eastAsia"/>
          <w:lang w:val="en-US" w:eastAsia="zh-CN"/>
        </w:rPr>
        <w:t>3</w:t>
      </w:r>
      <w:r>
        <w:rPr>
          <w:rFonts w:hint="eastAsia"/>
          <w:lang w:eastAsia="zh-CN"/>
        </w:rPr>
        <w:t>）柴油发电机</w:t>
      </w:r>
    </w:p>
    <w:p w14:paraId="171C4DDE">
      <w:pPr>
        <w:numPr>
          <w:ilvl w:val="0"/>
          <w:numId w:val="0"/>
        </w:numPr>
        <w:bidi w:val="0"/>
        <w:ind w:firstLine="654" w:firstLineChars="200"/>
        <w:rPr>
          <w:rFonts w:hint="eastAsia"/>
          <w:lang w:eastAsia="zh-CN"/>
        </w:rPr>
      </w:pPr>
      <w:r>
        <w:rPr>
          <w:rFonts w:hint="eastAsia"/>
          <w:lang w:eastAsia="zh-CN"/>
        </w:rPr>
        <w:t>柴油发电机在工作时会产生高温，如果设备散热不良或电路短路等原因造成局部高温，易引发火灾。此外，柴油发电机的燃烧过程也会产生火源，如果未按要求进行通风和防爆措施，也会增加火灾的发生概率。</w:t>
      </w:r>
    </w:p>
    <w:p w14:paraId="1CB03610">
      <w:pPr>
        <w:numPr>
          <w:ilvl w:val="0"/>
          <w:numId w:val="0"/>
        </w:numPr>
        <w:bidi w:val="0"/>
        <w:ind w:firstLine="654" w:firstLineChars="200"/>
        <w:rPr>
          <w:rFonts w:hint="eastAsia"/>
          <w:lang w:eastAsia="zh-CN"/>
        </w:rPr>
      </w:pPr>
      <w:r>
        <w:rPr>
          <w:rFonts w:hint="eastAsia"/>
          <w:lang w:eastAsia="zh-CN"/>
        </w:rPr>
        <w:t>柴油燃烧时产生的一氧化碳等有毒气体如果无法及时排出，容易造成室内气体中毒和窒息。特别是在密闭环境中使用发电机时，更容易造成气体中毒和窒息。</w:t>
      </w:r>
    </w:p>
    <w:p w14:paraId="246ED26A">
      <w:pPr>
        <w:numPr>
          <w:ilvl w:val="0"/>
          <w:numId w:val="0"/>
        </w:numPr>
        <w:bidi w:val="0"/>
        <w:ind w:firstLine="654" w:firstLineChars="200"/>
        <w:rPr>
          <w:rFonts w:hint="eastAsia"/>
          <w:lang w:eastAsia="zh-CN"/>
        </w:rPr>
      </w:pPr>
      <w:r>
        <w:rPr>
          <w:rFonts w:hint="eastAsia"/>
          <w:lang w:eastAsia="zh-CN"/>
        </w:rPr>
        <w:t>发电机涉及到大量的电力工作，如果设备绝缘不良、接地不牢固或操作人员操作不当，都有可能造成触电危险。</w:t>
      </w:r>
    </w:p>
    <w:p w14:paraId="1BADF3B3">
      <w:pPr>
        <w:numPr>
          <w:ilvl w:val="0"/>
          <w:numId w:val="0"/>
        </w:numPr>
        <w:bidi w:val="0"/>
        <w:ind w:firstLine="654" w:firstLineChars="200"/>
        <w:rPr>
          <w:rFonts w:hint="eastAsia"/>
          <w:lang w:eastAsia="zh-CN"/>
        </w:rPr>
      </w:pPr>
      <w:r>
        <w:rPr>
          <w:rFonts w:hint="eastAsia"/>
          <w:lang w:eastAsia="zh-CN"/>
        </w:rPr>
        <w:t>发电机的燃油系统、冷却系统等容易出现泄露问题，油料泄露会导致工作区域湿滑、易燃等，容易造成火灾爆炸事故。</w:t>
      </w:r>
    </w:p>
    <w:p w14:paraId="6078CDEC">
      <w:pPr>
        <w:numPr>
          <w:ilvl w:val="0"/>
          <w:numId w:val="0"/>
        </w:numPr>
        <w:bidi w:val="0"/>
        <w:ind w:firstLine="654" w:firstLineChars="200"/>
        <w:rPr>
          <w:rFonts w:hint="eastAsia"/>
          <w:lang w:eastAsia="zh-CN"/>
        </w:rPr>
      </w:pPr>
      <w:r>
        <w:rPr>
          <w:rFonts w:hint="eastAsia"/>
          <w:lang w:eastAsia="zh-CN"/>
        </w:rPr>
        <w:t>柴油发电机存在机械故障等风险。例如，发动机部件的磨损、电路接触不良等，都有可能导致设备失灵、起火等危险。</w:t>
      </w:r>
    </w:p>
    <w:p w14:paraId="6E182CBF">
      <w:pPr>
        <w:pStyle w:val="6"/>
        <w:numPr>
          <w:ilvl w:val="3"/>
          <w:numId w:val="0"/>
        </w:numPr>
        <w:bidi w:val="0"/>
        <w:ind w:leftChars="200"/>
        <w:rPr>
          <w:rFonts w:hint="eastAsia"/>
          <w:lang w:eastAsia="zh-CN"/>
        </w:rPr>
      </w:pPr>
      <w:r>
        <w:rPr>
          <w:rFonts w:hint="eastAsia"/>
          <w:lang w:eastAsia="zh-CN"/>
        </w:rPr>
        <w:t>（</w:t>
      </w:r>
      <w:r>
        <w:rPr>
          <w:rFonts w:hint="eastAsia"/>
          <w:lang w:val="en-US" w:eastAsia="zh-CN"/>
        </w:rPr>
        <w:t>4</w:t>
      </w:r>
      <w:r>
        <w:rPr>
          <w:rFonts w:hint="eastAsia"/>
          <w:lang w:eastAsia="zh-CN"/>
        </w:rPr>
        <w:t>）常压燃气锅炉</w:t>
      </w:r>
    </w:p>
    <w:p w14:paraId="12489B70">
      <w:pPr>
        <w:numPr>
          <w:ilvl w:val="0"/>
          <w:numId w:val="0"/>
        </w:numPr>
        <w:ind w:firstLine="654" w:firstLineChars="200"/>
        <w:rPr>
          <w:rFonts w:hint="eastAsia"/>
          <w:color w:val="auto"/>
          <w:lang w:val="en-US" w:eastAsia="zh-CN"/>
        </w:rPr>
      </w:pPr>
      <w:r>
        <w:rPr>
          <w:rFonts w:hint="eastAsia"/>
          <w:color w:val="auto"/>
          <w:lang w:val="en-US" w:eastAsia="zh-CN"/>
        </w:rPr>
        <w:t>燃气锅炉使用过程中，如果管路、阀门等老化或人员操作失误、违规操作导致出现漏气、可燃气体聚集，容易造成火灾、爆炸、中毒和窒息。</w:t>
      </w:r>
    </w:p>
    <w:p w14:paraId="51864857">
      <w:pPr>
        <w:numPr>
          <w:ilvl w:val="0"/>
          <w:numId w:val="0"/>
        </w:numPr>
        <w:ind w:firstLine="654" w:firstLineChars="200"/>
        <w:rPr>
          <w:rFonts w:hint="eastAsia"/>
          <w:lang w:eastAsia="zh-CN"/>
        </w:rPr>
      </w:pPr>
      <w:r>
        <w:rPr>
          <w:rFonts w:hint="eastAsia"/>
          <w:color w:val="auto"/>
          <w:lang w:val="en-US" w:eastAsia="zh-CN"/>
        </w:rPr>
        <w:t>锅炉运行时，锅炉里的水会被加热，逐渐减少。当锅炉内的水太少甚至烧干时，可燃气体燃烧释放的热能会直接加热锅炉本身，造成炉体过热，引发灼烫、爆炸事故。</w:t>
      </w:r>
    </w:p>
    <w:p w14:paraId="3323DC06">
      <w:pPr>
        <w:pStyle w:val="5"/>
        <w:numPr>
          <w:ilvl w:val="2"/>
          <w:numId w:val="0"/>
        </w:numPr>
        <w:ind w:firstLine="654" w:firstLineChars="200"/>
        <w:rPr>
          <w:rFonts w:hint="eastAsia"/>
        </w:rPr>
      </w:pPr>
      <w:r>
        <w:rPr>
          <w:rFonts w:hint="eastAsia"/>
        </w:rPr>
        <w:t>综上所述，</w:t>
      </w:r>
      <w:r>
        <w:rPr>
          <w:rFonts w:hint="eastAsia"/>
          <w:lang w:eastAsia="zh-CN"/>
        </w:rPr>
        <w:t>设备设施</w:t>
      </w:r>
      <w:r>
        <w:rPr>
          <w:rFonts w:hint="eastAsia"/>
        </w:rPr>
        <w:t>存在的主要危险有害因素</w:t>
      </w:r>
      <w:r>
        <w:rPr>
          <w:rFonts w:hint="eastAsia"/>
          <w:lang w:eastAsia="zh-CN"/>
        </w:rPr>
        <w:t>易导致</w:t>
      </w:r>
      <w:r>
        <w:rPr>
          <w:rFonts w:hint="eastAsia"/>
        </w:rPr>
        <w:t>火灾、爆炸、</w:t>
      </w:r>
      <w:r>
        <w:rPr>
          <w:rFonts w:hint="eastAsia"/>
          <w:lang w:eastAsia="zh-CN"/>
        </w:rPr>
        <w:t>中毒和窒息、灼烫、触电、起重伤害</w:t>
      </w:r>
      <w:r>
        <w:rPr>
          <w:rFonts w:hint="eastAsia"/>
        </w:rPr>
        <w:t>。</w:t>
      </w:r>
    </w:p>
    <w:p w14:paraId="54CBD93A">
      <w:pPr>
        <w:pStyle w:val="4"/>
        <w:bidi w:val="0"/>
        <w:rPr>
          <w:rFonts w:hint="default"/>
          <w:lang w:val="en-US" w:eastAsia="zh-CN"/>
        </w:rPr>
      </w:pPr>
      <w:bookmarkStart w:id="15" w:name="_Toc11362"/>
      <w:bookmarkStart w:id="16" w:name="_Toc2966"/>
      <w:r>
        <w:rPr>
          <w:rFonts w:hint="eastAsia"/>
          <w:color w:val="auto"/>
          <w:lang w:val="en-US" w:eastAsia="zh-CN"/>
        </w:rPr>
        <w:t>经营过程中</w:t>
      </w:r>
      <w:r>
        <w:rPr>
          <w:rFonts w:hint="default"/>
          <w:color w:val="auto"/>
          <w:lang w:val="en-US" w:eastAsia="zh-CN"/>
        </w:rPr>
        <w:t>危险有害因素辨识分析</w:t>
      </w:r>
      <w:bookmarkEnd w:id="15"/>
      <w:bookmarkEnd w:id="16"/>
    </w:p>
    <w:p w14:paraId="440D8699">
      <w:pPr>
        <w:pStyle w:val="5"/>
        <w:bidi w:val="0"/>
        <w:rPr>
          <w:rFonts w:hint="default"/>
          <w:color w:val="auto"/>
        </w:rPr>
      </w:pPr>
      <w:r>
        <w:rPr>
          <w:rFonts w:hint="default"/>
          <w:color w:val="auto"/>
        </w:rPr>
        <w:t>火灾、爆炸</w:t>
      </w:r>
    </w:p>
    <w:p w14:paraId="62FC1F38">
      <w:pPr>
        <w:bidi w:val="0"/>
        <w:rPr>
          <w:rFonts w:hint="default"/>
          <w:color w:val="auto"/>
        </w:rPr>
      </w:pPr>
      <w:r>
        <w:rPr>
          <w:rFonts w:hint="default"/>
          <w:color w:val="auto"/>
          <w:lang w:eastAsia="zh-CN"/>
        </w:rPr>
        <w:t>（</w:t>
      </w:r>
      <w:r>
        <w:rPr>
          <w:rFonts w:hint="default"/>
          <w:color w:val="auto"/>
          <w:lang w:val="en-US" w:eastAsia="zh-CN"/>
        </w:rPr>
        <w:t>1</w:t>
      </w:r>
      <w:r>
        <w:rPr>
          <w:rFonts w:hint="default"/>
          <w:color w:val="auto"/>
          <w:lang w:eastAsia="zh-CN"/>
        </w:rPr>
        <w:t>）</w:t>
      </w:r>
      <w:r>
        <w:rPr>
          <w:rFonts w:hint="default"/>
          <w:color w:val="auto"/>
        </w:rPr>
        <w:t>化学品</w:t>
      </w:r>
    </w:p>
    <w:p w14:paraId="759E06B4">
      <w:pPr>
        <w:bidi w:val="0"/>
        <w:rPr>
          <w:rFonts w:hint="default"/>
          <w:color w:val="auto"/>
        </w:rPr>
      </w:pPr>
      <w:r>
        <w:rPr>
          <w:rFonts w:hint="eastAsia"/>
          <w:color w:val="auto"/>
          <w:lang w:val="en-US" w:eastAsia="zh-CN"/>
        </w:rPr>
        <w:t>酒店</w:t>
      </w:r>
      <w:r>
        <w:rPr>
          <w:rFonts w:hint="default"/>
          <w:color w:val="auto"/>
          <w:lang w:val="en-US" w:eastAsia="zh-CN"/>
        </w:rPr>
        <w:t>生产</w:t>
      </w:r>
      <w:r>
        <w:rPr>
          <w:rFonts w:hint="eastAsia"/>
          <w:color w:val="auto"/>
          <w:lang w:val="en-US" w:eastAsia="zh-CN"/>
        </w:rPr>
        <w:t>经营</w:t>
      </w:r>
      <w:r>
        <w:rPr>
          <w:rFonts w:hint="default"/>
          <w:color w:val="auto"/>
          <w:lang w:val="en-US" w:eastAsia="zh-CN"/>
        </w:rPr>
        <w:t>过程中</w:t>
      </w:r>
      <w:r>
        <w:rPr>
          <w:rFonts w:hint="eastAsia"/>
          <w:color w:val="auto"/>
          <w:lang w:val="en-US" w:eastAsia="zh-CN"/>
        </w:rPr>
        <w:t>，锅炉房、厨房及发电机房</w:t>
      </w:r>
      <w:r>
        <w:rPr>
          <w:rFonts w:hint="default"/>
          <w:color w:val="auto"/>
        </w:rPr>
        <w:t>使用的</w:t>
      </w:r>
      <w:r>
        <w:rPr>
          <w:rFonts w:hint="eastAsia"/>
          <w:color w:val="auto"/>
          <w:lang w:val="en-US" w:eastAsia="zh-CN"/>
        </w:rPr>
        <w:t>天然气、柴油</w:t>
      </w:r>
      <w:r>
        <w:rPr>
          <w:rFonts w:hint="default"/>
          <w:color w:val="auto"/>
        </w:rPr>
        <w:t>，在使用中若发生泄漏，工人违规动火，设备、设施静电接地不符合要求或接地装置出现故障，工作人员穿着容易产生静电的化纤衣物，导致静电放电等现象，均可能引起火灾事故，遇</w:t>
      </w:r>
      <w:r>
        <w:rPr>
          <w:rFonts w:hint="eastAsia"/>
          <w:color w:val="auto"/>
          <w:lang w:eastAsia="zh-CN"/>
        </w:rPr>
        <w:t>易燃液体蒸发、</w:t>
      </w:r>
      <w:r>
        <w:rPr>
          <w:rFonts w:hint="default"/>
          <w:color w:val="auto"/>
        </w:rPr>
        <w:t>易燃气体聚集可能导致爆炸事故的发生。</w:t>
      </w:r>
    </w:p>
    <w:p w14:paraId="7DC04E6D">
      <w:pPr>
        <w:bidi w:val="0"/>
        <w:rPr>
          <w:rFonts w:hint="default"/>
          <w:color w:val="auto"/>
        </w:rPr>
      </w:pPr>
      <w:r>
        <w:rPr>
          <w:rFonts w:hint="default"/>
          <w:color w:val="auto"/>
          <w:lang w:eastAsia="zh-CN"/>
        </w:rPr>
        <w:t>（</w:t>
      </w:r>
      <w:r>
        <w:rPr>
          <w:rFonts w:hint="default"/>
          <w:color w:val="auto"/>
          <w:lang w:val="en-US" w:eastAsia="zh-CN"/>
        </w:rPr>
        <w:t>2</w:t>
      </w:r>
      <w:r>
        <w:rPr>
          <w:rFonts w:hint="default"/>
          <w:color w:val="auto"/>
          <w:lang w:eastAsia="zh-CN"/>
        </w:rPr>
        <w:t>）</w:t>
      </w:r>
      <w:r>
        <w:rPr>
          <w:rFonts w:hint="default"/>
          <w:color w:val="auto"/>
        </w:rPr>
        <w:t>电气火灾</w:t>
      </w:r>
    </w:p>
    <w:p w14:paraId="7464312E">
      <w:pPr>
        <w:bidi w:val="0"/>
        <w:rPr>
          <w:rFonts w:hint="default"/>
          <w:color w:val="auto"/>
        </w:rPr>
      </w:pPr>
      <w:r>
        <w:rPr>
          <w:rFonts w:hint="eastAsia"/>
          <w:color w:val="auto"/>
          <w:lang w:val="en-US" w:eastAsia="zh-CN"/>
        </w:rPr>
        <w:t>酒店</w:t>
      </w:r>
      <w:r>
        <w:rPr>
          <w:rFonts w:hint="default"/>
          <w:color w:val="auto"/>
          <w:lang w:val="en-US" w:eastAsia="zh-CN"/>
        </w:rPr>
        <w:t>生产</w:t>
      </w:r>
      <w:r>
        <w:rPr>
          <w:rFonts w:hint="eastAsia"/>
          <w:color w:val="auto"/>
          <w:lang w:val="en-US" w:eastAsia="zh-CN"/>
        </w:rPr>
        <w:t>经营</w:t>
      </w:r>
      <w:r>
        <w:rPr>
          <w:rFonts w:hint="default"/>
          <w:color w:val="auto"/>
          <w:lang w:val="en-US" w:eastAsia="zh-CN"/>
        </w:rPr>
        <w:t>过程使</w:t>
      </w:r>
      <w:r>
        <w:rPr>
          <w:rFonts w:hint="default"/>
          <w:color w:val="auto"/>
        </w:rPr>
        <w:t>用电气设备、设施较多，主要有各类生产主要设备、公辅设备和变配电设施等。如果电气设备或线路超负荷运行、无</w:t>
      </w:r>
      <w:r>
        <w:rPr>
          <w:rFonts w:hint="eastAsia"/>
          <w:color w:val="auto"/>
          <w:lang w:eastAsia="zh-CN"/>
        </w:rPr>
        <w:t>漏电</w:t>
      </w:r>
      <w:r>
        <w:rPr>
          <w:rFonts w:hint="default"/>
          <w:color w:val="auto"/>
        </w:rPr>
        <w:t>保护装置或失效，以及电气设备终端、接头松动、接触不良</w:t>
      </w:r>
      <w:r>
        <w:rPr>
          <w:rFonts w:hint="eastAsia"/>
          <w:color w:val="auto"/>
          <w:lang w:eastAsia="zh-CN"/>
        </w:rPr>
        <w:t>等会儿</w:t>
      </w:r>
      <w:r>
        <w:rPr>
          <w:rFonts w:hint="default"/>
          <w:color w:val="auto"/>
        </w:rPr>
        <w:t>使电阻增大引起过热等，均可导致电气短路、发热并造成火灾。</w:t>
      </w:r>
    </w:p>
    <w:p w14:paraId="56942913">
      <w:pPr>
        <w:bidi w:val="0"/>
        <w:rPr>
          <w:rFonts w:hint="default"/>
          <w:color w:val="auto"/>
          <w:highlight w:val="none"/>
        </w:rPr>
      </w:pPr>
      <w:r>
        <w:rPr>
          <w:rFonts w:hint="default"/>
          <w:color w:val="auto"/>
        </w:rPr>
        <w:t>电源线、母线、开关触头、输配电线路的接头处都存在接触电阻，在电阻较大时由于触头松动接触电阻较大，接触处温</w:t>
      </w:r>
      <w:r>
        <w:rPr>
          <w:rFonts w:hint="default"/>
          <w:color w:val="auto"/>
          <w:highlight w:val="none"/>
        </w:rPr>
        <w:t>度升高，致使接触金属熔化，引起附近可燃物起火燃烧。</w:t>
      </w:r>
    </w:p>
    <w:p w14:paraId="2D55E6C1">
      <w:pPr>
        <w:bidi w:val="0"/>
        <w:rPr>
          <w:rFonts w:hint="default"/>
          <w:color w:val="auto"/>
          <w:highlight w:val="none"/>
        </w:rPr>
      </w:pPr>
      <w:r>
        <w:rPr>
          <w:rFonts w:hint="default"/>
          <w:color w:val="auto"/>
          <w:highlight w:val="none"/>
          <w:lang w:eastAsia="zh-CN"/>
        </w:rPr>
        <w:t>（</w:t>
      </w:r>
      <w:r>
        <w:rPr>
          <w:rFonts w:hint="default"/>
          <w:color w:val="auto"/>
          <w:highlight w:val="none"/>
          <w:lang w:val="en-US" w:eastAsia="zh-CN"/>
        </w:rPr>
        <w:t>3</w:t>
      </w:r>
      <w:r>
        <w:rPr>
          <w:rFonts w:hint="default"/>
          <w:color w:val="auto"/>
          <w:highlight w:val="none"/>
          <w:lang w:eastAsia="zh-CN"/>
        </w:rPr>
        <w:t>）</w:t>
      </w:r>
      <w:r>
        <w:rPr>
          <w:rFonts w:hint="default"/>
          <w:color w:val="auto"/>
          <w:highlight w:val="none"/>
        </w:rPr>
        <w:t>雷电火灾</w:t>
      </w:r>
    </w:p>
    <w:p w14:paraId="12498596">
      <w:pPr>
        <w:bidi w:val="0"/>
        <w:rPr>
          <w:rFonts w:hint="default"/>
          <w:color w:val="auto"/>
          <w:highlight w:val="none"/>
        </w:rPr>
      </w:pPr>
      <w:r>
        <w:rPr>
          <w:rFonts w:hint="default"/>
          <w:color w:val="auto"/>
          <w:highlight w:val="none"/>
        </w:rPr>
        <w:t>如果建、构筑物耐火等级不符合要求、未设防雷设施或防雷设施不符合要求，</w:t>
      </w:r>
      <w:r>
        <w:rPr>
          <w:rFonts w:hint="default"/>
          <w:color w:val="auto"/>
          <w:highlight w:val="none"/>
          <w:lang w:val="en-US" w:eastAsia="zh-CN"/>
        </w:rPr>
        <w:t>或防雷设施未定期检测，在使用过程中失效或损坏，在</w:t>
      </w:r>
      <w:r>
        <w:rPr>
          <w:rFonts w:hint="default"/>
          <w:color w:val="auto"/>
          <w:highlight w:val="none"/>
        </w:rPr>
        <w:t>发生雷击</w:t>
      </w:r>
      <w:r>
        <w:rPr>
          <w:rFonts w:hint="default"/>
          <w:color w:val="auto"/>
          <w:highlight w:val="none"/>
          <w:lang w:val="en-US" w:eastAsia="zh-CN"/>
        </w:rPr>
        <w:t>时起到防雷作用，因此</w:t>
      </w:r>
      <w:r>
        <w:rPr>
          <w:rFonts w:hint="default"/>
          <w:color w:val="auto"/>
          <w:highlight w:val="none"/>
        </w:rPr>
        <w:t>可能引发火灾事故。</w:t>
      </w:r>
    </w:p>
    <w:p w14:paraId="49237E4D">
      <w:pPr>
        <w:numPr>
          <w:ilvl w:val="0"/>
          <w:numId w:val="6"/>
        </w:numPr>
        <w:bidi w:val="0"/>
        <w:rPr>
          <w:rFonts w:hint="eastAsia" w:cs="仿宋"/>
          <w:color w:val="auto"/>
          <w:kern w:val="2"/>
          <w:sz w:val="32"/>
          <w:szCs w:val="32"/>
          <w:highlight w:val="none"/>
          <w:lang w:val="en-US" w:eastAsia="zh-CN" w:bidi="ar-SA"/>
        </w:rPr>
      </w:pPr>
      <w:r>
        <w:rPr>
          <w:rFonts w:hint="eastAsia" w:cs="仿宋"/>
          <w:color w:val="auto"/>
          <w:kern w:val="2"/>
          <w:sz w:val="32"/>
          <w:szCs w:val="32"/>
          <w:highlight w:val="none"/>
          <w:lang w:val="en-US" w:eastAsia="zh-CN" w:bidi="ar-SA"/>
        </w:rPr>
        <w:t>有限空间</w:t>
      </w:r>
    </w:p>
    <w:p w14:paraId="3215B0B1">
      <w:pPr>
        <w:bidi w:val="0"/>
        <w:rPr>
          <w:rFonts w:hint="default"/>
          <w:lang w:val="en-US" w:eastAsia="zh-CN"/>
        </w:rPr>
      </w:pPr>
      <w:r>
        <w:rPr>
          <w:rFonts w:hint="eastAsia"/>
          <w:lang w:val="en-US" w:eastAsia="zh-CN"/>
        </w:rPr>
        <w:t>化粪池、隔油池、污水井等有限空间存在的甲烷或沼气等易燃气体，当空气中易燃气体浓度高于5%时，如遇烟头、静电或明火作业时，可能导致火灾甚至爆炸。</w:t>
      </w:r>
    </w:p>
    <w:p w14:paraId="1DEFFCD3">
      <w:pPr>
        <w:pStyle w:val="5"/>
        <w:bidi w:val="0"/>
        <w:rPr>
          <w:rFonts w:hint="default"/>
          <w:color w:val="auto"/>
        </w:rPr>
      </w:pPr>
      <w:r>
        <w:rPr>
          <w:rFonts w:hint="default"/>
          <w:color w:val="auto"/>
        </w:rPr>
        <w:t>中毒</w:t>
      </w:r>
      <w:r>
        <w:rPr>
          <w:rFonts w:hint="eastAsia"/>
          <w:color w:val="auto"/>
          <w:lang w:val="en-US" w:eastAsia="zh-CN"/>
        </w:rPr>
        <w:t>和</w:t>
      </w:r>
      <w:r>
        <w:rPr>
          <w:rFonts w:hint="default"/>
          <w:color w:val="auto"/>
        </w:rPr>
        <w:t>窒息</w:t>
      </w:r>
    </w:p>
    <w:p w14:paraId="4B0E1F6A">
      <w:pPr>
        <w:bidi w:val="0"/>
        <w:rPr>
          <w:color w:val="auto"/>
          <w:highlight w:val="none"/>
          <w:lang w:eastAsia="zh-CN"/>
        </w:rPr>
      </w:pPr>
      <w:r>
        <w:rPr>
          <w:rFonts w:hint="default"/>
          <w:color w:val="auto"/>
        </w:rPr>
        <w:t>中毒是指机体过量或大量接触化学毒物，引发组织结构和功能损害、代谢障碍而发生疾病或死亡。</w:t>
      </w:r>
      <w:r>
        <w:rPr>
          <w:rFonts w:hint="eastAsia"/>
          <w:color w:val="auto"/>
          <w:lang w:val="en-US" w:eastAsia="zh-CN"/>
        </w:rPr>
        <w:t>酒店生产经营过程中</w:t>
      </w:r>
      <w:r>
        <w:rPr>
          <w:rFonts w:hint="eastAsia"/>
          <w:color w:val="auto"/>
          <w:lang w:eastAsia="zh-CN"/>
        </w:rPr>
        <w:t>存在的消防水箱、生活水箱、烟道、隔油池、化粪池、</w:t>
      </w:r>
      <w:r>
        <w:rPr>
          <w:rFonts w:hint="eastAsia"/>
          <w:color w:val="auto"/>
          <w:lang w:val="en-US" w:eastAsia="zh-CN"/>
        </w:rPr>
        <w:t>污水井</w:t>
      </w:r>
      <w:r>
        <w:rPr>
          <w:rFonts w:hint="eastAsia"/>
          <w:color w:val="auto"/>
          <w:lang w:eastAsia="zh-CN"/>
        </w:rPr>
        <w:t>等受限空间作业地点，若检修或作业过程中因违章，未执行受限空间作业的安全管理规定，或其他原因造成受限空间作业</w:t>
      </w:r>
      <w:r>
        <w:rPr>
          <w:rFonts w:hint="eastAsia"/>
          <w:color w:val="auto"/>
          <w:highlight w:val="none"/>
          <w:lang w:eastAsia="zh-CN"/>
        </w:rPr>
        <w:t>内氧气不足、有毒有害气体积聚，导致中毒</w:t>
      </w:r>
      <w:r>
        <w:rPr>
          <w:rFonts w:hint="eastAsia"/>
          <w:color w:val="auto"/>
          <w:highlight w:val="none"/>
          <w:lang w:val="en-US" w:eastAsia="zh-CN"/>
        </w:rPr>
        <w:t>和</w:t>
      </w:r>
      <w:r>
        <w:rPr>
          <w:rFonts w:hint="eastAsia"/>
          <w:color w:val="auto"/>
          <w:highlight w:val="none"/>
          <w:lang w:eastAsia="zh-CN"/>
        </w:rPr>
        <w:t>窒息事故。</w:t>
      </w:r>
    </w:p>
    <w:p w14:paraId="78D44CC3">
      <w:pPr>
        <w:pStyle w:val="5"/>
        <w:bidi w:val="0"/>
        <w:rPr>
          <w:rFonts w:hint="default"/>
          <w:color w:val="auto"/>
          <w:highlight w:val="none"/>
        </w:rPr>
      </w:pPr>
      <w:r>
        <w:rPr>
          <w:rFonts w:hint="default"/>
          <w:color w:val="auto"/>
          <w:highlight w:val="none"/>
        </w:rPr>
        <w:t>灼烫</w:t>
      </w:r>
    </w:p>
    <w:p w14:paraId="1ADE4A59">
      <w:pPr>
        <w:bidi w:val="0"/>
        <w:rPr>
          <w:rFonts w:hint="default"/>
          <w:color w:val="auto"/>
          <w:lang w:val="en-US" w:eastAsia="zh-CN"/>
        </w:rPr>
      </w:pPr>
      <w:r>
        <w:rPr>
          <w:rFonts w:hint="eastAsia"/>
          <w:color w:val="auto"/>
          <w:lang w:val="en-US" w:eastAsia="zh-CN"/>
        </w:rPr>
        <w:t>酒店生产经营过程中由于操作失</w:t>
      </w:r>
      <w:r>
        <w:rPr>
          <w:rFonts w:hint="eastAsia"/>
          <w:color w:val="auto"/>
          <w:highlight w:val="none"/>
          <w:lang w:val="en-US" w:eastAsia="zh-CN"/>
        </w:rPr>
        <w:t>误被锅炉设</w:t>
      </w:r>
      <w:r>
        <w:rPr>
          <w:rFonts w:hint="eastAsia"/>
          <w:color w:val="auto"/>
          <w:lang w:val="en-US" w:eastAsia="zh-CN"/>
        </w:rPr>
        <w:t>备及厨房里的炉灶、蒸箱、电饼铛、热水器等烫伤，使用饮水机及电热水壶，热水洒出或人员触及电热水壶外壁造成烫伤。</w:t>
      </w:r>
    </w:p>
    <w:p w14:paraId="57D169DE">
      <w:pPr>
        <w:bidi w:val="0"/>
        <w:rPr>
          <w:rFonts w:hint="default"/>
          <w:color w:val="auto"/>
          <w:highlight w:val="none"/>
        </w:rPr>
      </w:pPr>
      <w:r>
        <w:rPr>
          <w:rFonts w:hint="eastAsia"/>
          <w:color w:val="auto"/>
          <w:highlight w:val="none"/>
          <w:lang w:eastAsia="zh-CN"/>
        </w:rPr>
        <w:t>发电机</w:t>
      </w:r>
      <w:r>
        <w:rPr>
          <w:rFonts w:hint="default"/>
          <w:color w:val="auto"/>
          <w:highlight w:val="none"/>
        </w:rPr>
        <w:t>运行时，润滑油温度较高，如有高温油泄漏</w:t>
      </w:r>
      <w:r>
        <w:rPr>
          <w:rFonts w:hint="eastAsia"/>
          <w:color w:val="auto"/>
          <w:highlight w:val="none"/>
          <w:lang w:eastAsia="zh-CN"/>
        </w:rPr>
        <w:t>或</w:t>
      </w:r>
      <w:r>
        <w:rPr>
          <w:rFonts w:hint="default"/>
          <w:color w:val="auto"/>
          <w:highlight w:val="none"/>
        </w:rPr>
        <w:t>冷器安装位置不当，人员对场所环境不熟悉，无关人员误入触及高温设备，有发生高温灼烫危险。</w:t>
      </w:r>
    </w:p>
    <w:p w14:paraId="7B40B429">
      <w:pPr>
        <w:pStyle w:val="5"/>
        <w:bidi w:val="0"/>
        <w:rPr>
          <w:rFonts w:hint="default"/>
          <w:color w:val="auto"/>
          <w:highlight w:val="none"/>
        </w:rPr>
      </w:pPr>
      <w:r>
        <w:rPr>
          <w:rFonts w:hint="default"/>
          <w:color w:val="auto"/>
          <w:highlight w:val="none"/>
        </w:rPr>
        <w:t>触电伤害</w:t>
      </w:r>
    </w:p>
    <w:p w14:paraId="7C47E3AF">
      <w:pPr>
        <w:bidi w:val="0"/>
        <w:rPr>
          <w:rFonts w:hint="default"/>
          <w:color w:val="auto"/>
          <w:highlight w:val="none"/>
        </w:rPr>
      </w:pPr>
      <w:r>
        <w:rPr>
          <w:rFonts w:hint="default"/>
          <w:color w:val="auto"/>
          <w:highlight w:val="none"/>
        </w:rPr>
        <w:t>触电伤害分为电击和电伤。电击，主要是电流直接作用于人体所造成的伤害。电伤，是电流转换成热能、机械能等其他形式的能量作用于人体造成的伤害。电伤可分为电弧烧伤、电流烫伤、皮肤金属化、电光眼等。电弧温度高达800℃以上，可造成大面积的烧伤，甚至烧焦、烧毁四肢及其他部位。</w:t>
      </w:r>
    </w:p>
    <w:p w14:paraId="2A945EBA">
      <w:pPr>
        <w:bidi w:val="0"/>
        <w:rPr>
          <w:rFonts w:hint="default"/>
          <w:color w:val="auto"/>
          <w:highlight w:val="none"/>
        </w:rPr>
      </w:pPr>
      <w:r>
        <w:rPr>
          <w:rFonts w:hint="eastAsia"/>
          <w:color w:val="auto"/>
          <w:highlight w:val="none"/>
          <w:lang w:val="en-US" w:eastAsia="zh-CN"/>
        </w:rPr>
        <w:t>酒店</w:t>
      </w:r>
      <w:r>
        <w:rPr>
          <w:rFonts w:hint="default"/>
          <w:color w:val="auto"/>
          <w:highlight w:val="none"/>
        </w:rPr>
        <w:t>电气设备使用的电缆较多，其电缆绝缘外皮老化、受潮，设备未做到正确接零或接地，人可触及的部位未采取绝缘或隔离措施等，也可导致触电伤害。</w:t>
      </w:r>
    </w:p>
    <w:p w14:paraId="75039530">
      <w:pPr>
        <w:bidi w:val="0"/>
        <w:rPr>
          <w:rFonts w:hint="default"/>
          <w:color w:val="auto"/>
          <w:highlight w:val="none"/>
        </w:rPr>
      </w:pPr>
      <w:r>
        <w:rPr>
          <w:rFonts w:hint="default"/>
          <w:color w:val="auto"/>
          <w:highlight w:val="none"/>
        </w:rPr>
        <w:t>容易引发触电事故的主要因素有：</w:t>
      </w:r>
    </w:p>
    <w:p w14:paraId="5C40AA1E">
      <w:pPr>
        <w:numPr>
          <w:ilvl w:val="0"/>
          <w:numId w:val="7"/>
        </w:numPr>
        <w:bidi w:val="0"/>
        <w:rPr>
          <w:rFonts w:hint="default"/>
          <w:color w:val="auto"/>
          <w:highlight w:val="none"/>
        </w:rPr>
      </w:pPr>
      <w:r>
        <w:rPr>
          <w:rFonts w:hint="default"/>
          <w:color w:val="auto"/>
          <w:highlight w:val="none"/>
        </w:rPr>
        <w:t>配电控制柜及以电为能源的动力、照明、控制设备、电缆、开关等，因潮湿、超负荷、线路老化、故障、误操作或电气设备绝缘不良、防护不够、错误接线以及短路等原因均可引发人身触电伤害或造成设备损坏等危险。</w:t>
      </w:r>
    </w:p>
    <w:p w14:paraId="065DF35D">
      <w:pPr>
        <w:numPr>
          <w:ilvl w:val="0"/>
          <w:numId w:val="7"/>
        </w:numPr>
        <w:bidi w:val="0"/>
        <w:rPr>
          <w:rFonts w:hint="default"/>
          <w:color w:val="auto"/>
          <w:highlight w:val="none"/>
        </w:rPr>
      </w:pPr>
      <w:r>
        <w:rPr>
          <w:rFonts w:hint="default"/>
          <w:color w:val="auto"/>
          <w:highlight w:val="none"/>
        </w:rPr>
        <w:t>一些设备由于绝缘老化、线头裸露等原因；电线、电气设施的绝缘或外壳损坏、设备漏电；电气设备接地、接零不良。</w:t>
      </w:r>
    </w:p>
    <w:p w14:paraId="57EA3AB7">
      <w:pPr>
        <w:numPr>
          <w:ilvl w:val="0"/>
          <w:numId w:val="7"/>
        </w:numPr>
        <w:bidi w:val="0"/>
        <w:rPr>
          <w:rFonts w:hint="default"/>
          <w:color w:val="auto"/>
          <w:highlight w:val="none"/>
        </w:rPr>
      </w:pPr>
      <w:r>
        <w:rPr>
          <w:rFonts w:hint="default"/>
          <w:color w:val="auto"/>
          <w:highlight w:val="none"/>
        </w:rPr>
        <w:t>线路检修时不装设或未按规定装设接地线，装设</w:t>
      </w:r>
      <w:r>
        <w:rPr>
          <w:rFonts w:hint="eastAsia"/>
          <w:color w:val="auto"/>
          <w:highlight w:val="none"/>
          <w:lang w:eastAsia="zh-CN"/>
        </w:rPr>
        <w:t>接地</w:t>
      </w:r>
      <w:r>
        <w:rPr>
          <w:rFonts w:hint="default"/>
          <w:color w:val="auto"/>
          <w:highlight w:val="none"/>
        </w:rPr>
        <w:t>线不验电。不</w:t>
      </w:r>
      <w:r>
        <w:rPr>
          <w:rFonts w:hint="eastAsia"/>
          <w:color w:val="auto"/>
          <w:highlight w:val="none"/>
          <w:lang w:eastAsia="zh-CN"/>
        </w:rPr>
        <w:t>使</w:t>
      </w:r>
      <w:r>
        <w:rPr>
          <w:rFonts w:hint="default"/>
          <w:color w:val="auto"/>
          <w:highlight w:val="none"/>
        </w:rPr>
        <w:t>用或使用不合格绝缘工具和电气工具。</w:t>
      </w:r>
    </w:p>
    <w:p w14:paraId="6C719C69">
      <w:pPr>
        <w:numPr>
          <w:ilvl w:val="0"/>
          <w:numId w:val="7"/>
        </w:numPr>
        <w:bidi w:val="0"/>
        <w:rPr>
          <w:rFonts w:hint="default"/>
          <w:color w:val="auto"/>
          <w:highlight w:val="none"/>
        </w:rPr>
      </w:pPr>
      <w:r>
        <w:rPr>
          <w:rFonts w:hint="default"/>
          <w:color w:val="auto"/>
          <w:highlight w:val="none"/>
        </w:rPr>
        <w:t>在带电设备附近进行作业不符合安全距离或无监护措施。工作人员擅自扩大工作范围。</w:t>
      </w:r>
    </w:p>
    <w:p w14:paraId="03A1D5A2">
      <w:pPr>
        <w:numPr>
          <w:ilvl w:val="0"/>
          <w:numId w:val="7"/>
        </w:numPr>
        <w:bidi w:val="0"/>
        <w:rPr>
          <w:rFonts w:hint="default"/>
          <w:color w:val="auto"/>
          <w:highlight w:val="none"/>
        </w:rPr>
      </w:pPr>
      <w:r>
        <w:rPr>
          <w:rFonts w:hint="default"/>
          <w:color w:val="auto"/>
          <w:highlight w:val="none"/>
        </w:rPr>
        <w:t>标志缺陷（如裸露带电部分附近的警告牌、刀闸的开合警告牌、变压器、配电柜母线裸露部分的警告牌不明显，就可能导致作业人员疏忽大意，进而发生触电，误合刀闸等人身或设备事故）。</w:t>
      </w:r>
    </w:p>
    <w:p w14:paraId="4B8D49F2">
      <w:pPr>
        <w:numPr>
          <w:ilvl w:val="0"/>
          <w:numId w:val="7"/>
        </w:numPr>
        <w:bidi w:val="0"/>
        <w:rPr>
          <w:rFonts w:hint="default"/>
          <w:color w:val="auto"/>
          <w:highlight w:val="none"/>
        </w:rPr>
      </w:pPr>
      <w:r>
        <w:rPr>
          <w:rFonts w:hint="default"/>
          <w:color w:val="auto"/>
          <w:highlight w:val="none"/>
        </w:rPr>
        <w:t>电缆、电线绝缘不好，私拉乱接，用电设备没有安装保护性接地或接零、电线与铁器发生摩擦磨破电线、酒后带电作业等，都可能发生触电事故。</w:t>
      </w:r>
    </w:p>
    <w:p w14:paraId="5023B7A7">
      <w:pPr>
        <w:numPr>
          <w:ilvl w:val="0"/>
          <w:numId w:val="7"/>
        </w:numPr>
        <w:bidi w:val="0"/>
        <w:rPr>
          <w:rFonts w:hint="default"/>
          <w:color w:val="auto"/>
          <w:highlight w:val="none"/>
        </w:rPr>
      </w:pPr>
      <w:r>
        <w:rPr>
          <w:rFonts w:hint="default"/>
          <w:color w:val="auto"/>
          <w:highlight w:val="none"/>
        </w:rPr>
        <w:t>电器作业的安全管理工作存在漏洞，单位未制定电气方面的安全管理制度和安全操作规程，或者相关制度、规程不科学，致使电气管理环节有疏漏和作业人员对电气安全操作认识不够。</w:t>
      </w:r>
    </w:p>
    <w:p w14:paraId="7CB7C16F">
      <w:pPr>
        <w:numPr>
          <w:ilvl w:val="0"/>
          <w:numId w:val="7"/>
        </w:numPr>
        <w:bidi w:val="0"/>
        <w:rPr>
          <w:rFonts w:hint="default"/>
          <w:color w:val="auto"/>
          <w:highlight w:val="none"/>
        </w:rPr>
      </w:pPr>
      <w:r>
        <w:rPr>
          <w:rFonts w:hint="default"/>
          <w:color w:val="auto"/>
          <w:highlight w:val="none"/>
        </w:rPr>
        <w:t>电气工作人员</w:t>
      </w:r>
      <w:r>
        <w:rPr>
          <w:rFonts w:hint="eastAsia"/>
          <w:color w:val="auto"/>
          <w:highlight w:val="none"/>
          <w:lang w:eastAsia="zh-CN"/>
        </w:rPr>
        <w:t>未取得相关特种作业操作证书，</w:t>
      </w:r>
      <w:r>
        <w:rPr>
          <w:rFonts w:hint="default"/>
          <w:color w:val="auto"/>
          <w:highlight w:val="none"/>
        </w:rPr>
        <w:t>操作人员违章操作，如在未经许可、无人监护的情况下，走错间隔或错听、错看，误登带电设备；电气工作人员对与带电设备之间应保持的安全距离不甚清楚，未认真履行工作票制度和安全监护制度，存侥幸心理，工作时监护不到位或脱离监护人工作；误送电、误带电造成触电。</w:t>
      </w:r>
    </w:p>
    <w:p w14:paraId="0DF1EACB">
      <w:pPr>
        <w:pStyle w:val="5"/>
        <w:bidi w:val="0"/>
        <w:rPr>
          <w:rFonts w:hint="default"/>
          <w:color w:val="auto"/>
          <w:highlight w:val="none"/>
        </w:rPr>
      </w:pPr>
      <w:r>
        <w:rPr>
          <w:rFonts w:hint="default"/>
          <w:color w:val="auto"/>
          <w:highlight w:val="none"/>
        </w:rPr>
        <w:t>机械伤害</w:t>
      </w:r>
    </w:p>
    <w:p w14:paraId="1BF479B2">
      <w:pPr>
        <w:bidi w:val="0"/>
        <w:rPr>
          <w:rFonts w:hint="default"/>
          <w:color w:val="auto"/>
          <w:highlight w:val="none"/>
        </w:rPr>
      </w:pPr>
      <w:r>
        <w:rPr>
          <w:rFonts w:hint="default"/>
          <w:color w:val="auto"/>
          <w:highlight w:val="none"/>
        </w:rPr>
        <w:t>机械伤害是指机械设备运动（静止）部件、工具、加工件直接与人体接触引起的夹击、碰撞、剪切、卷入、绞、碾、割、刺等伤害，不包括车辆、起重机械引起的机械伤害。常见机械伤害形式有：与运动零部件接触伤害，如绞缠与卷咬与冲压、飞出物打击、倾翻打击、刺割、刮碰、撞击伤害、磕绊等。</w:t>
      </w:r>
      <w:r>
        <w:rPr>
          <w:rFonts w:hint="eastAsia"/>
          <w:color w:val="auto"/>
          <w:highlight w:val="none"/>
          <w:lang w:val="en-US" w:eastAsia="zh-CN"/>
        </w:rPr>
        <w:t>酒店</w:t>
      </w:r>
      <w:r>
        <w:rPr>
          <w:rFonts w:hint="default"/>
          <w:color w:val="auto"/>
          <w:highlight w:val="none"/>
        </w:rPr>
        <w:t>生产设备如</w:t>
      </w:r>
      <w:r>
        <w:rPr>
          <w:rFonts w:hint="eastAsia"/>
          <w:color w:val="auto"/>
          <w:highlight w:val="none"/>
          <w:lang w:eastAsia="zh-CN"/>
        </w:rPr>
        <w:t>厨房的压面机、检维修使用的手持电动工具等</w:t>
      </w:r>
      <w:r>
        <w:rPr>
          <w:rFonts w:hint="default"/>
          <w:color w:val="auto"/>
          <w:highlight w:val="none"/>
        </w:rPr>
        <w:t>均有导致机械伤害的可能。</w:t>
      </w:r>
    </w:p>
    <w:p w14:paraId="140D8938">
      <w:pPr>
        <w:bidi w:val="0"/>
        <w:rPr>
          <w:rFonts w:hint="default"/>
        </w:rPr>
      </w:pPr>
      <w:r>
        <w:rPr>
          <w:rFonts w:hint="eastAsia"/>
          <w:color w:val="auto"/>
          <w:highlight w:val="none"/>
        </w:rPr>
        <w:t>操作人员</w:t>
      </w:r>
      <w:r>
        <w:rPr>
          <w:rFonts w:hint="default"/>
          <w:color w:val="auto"/>
          <w:highlight w:val="none"/>
        </w:rPr>
        <w:t>在进行机械设备操作时分心走神或未按规范说明操作、机械设备</w:t>
      </w:r>
      <w:r>
        <w:rPr>
          <w:rFonts w:hint="eastAsia"/>
          <w:color w:val="auto"/>
          <w:highlight w:val="none"/>
        </w:rPr>
        <w:t>故障</w:t>
      </w:r>
      <w:r>
        <w:rPr>
          <w:rFonts w:hint="default"/>
          <w:color w:val="auto"/>
          <w:highlight w:val="none"/>
        </w:rPr>
        <w:t>有可能发生机械伤害。</w:t>
      </w:r>
    </w:p>
    <w:p w14:paraId="2C5B0103">
      <w:pPr>
        <w:pStyle w:val="5"/>
        <w:bidi w:val="0"/>
        <w:rPr>
          <w:rFonts w:hint="default"/>
          <w:color w:val="auto"/>
        </w:rPr>
      </w:pPr>
      <w:r>
        <w:rPr>
          <w:rFonts w:hint="default"/>
          <w:color w:val="auto"/>
        </w:rPr>
        <w:t>高处坠落</w:t>
      </w:r>
    </w:p>
    <w:p w14:paraId="51ADB15B">
      <w:pPr>
        <w:bidi w:val="0"/>
        <w:rPr>
          <w:rFonts w:hint="default"/>
          <w:color w:val="auto"/>
        </w:rPr>
      </w:pPr>
      <w:r>
        <w:rPr>
          <w:rFonts w:hint="default"/>
          <w:color w:val="auto"/>
        </w:rPr>
        <w:t>高处坠落是指人员在高处作业中（2m以上作业）发生坠落造成的伤亡事故（不包括触电坠落事故）。</w:t>
      </w:r>
    </w:p>
    <w:p w14:paraId="60B06573">
      <w:pPr>
        <w:bidi w:val="0"/>
      </w:pPr>
      <w:r>
        <w:rPr>
          <w:rFonts w:hint="eastAsia"/>
          <w:color w:val="auto"/>
          <w:lang w:val="en-US" w:eastAsia="zh-CN"/>
        </w:rPr>
        <w:t>酒店</w:t>
      </w:r>
      <w:r>
        <w:rPr>
          <w:rFonts w:hint="eastAsia"/>
          <w:lang w:eastAsia="zh-CN"/>
        </w:rPr>
        <w:t>酒店</w:t>
      </w:r>
      <w:r>
        <w:t>在高处</w:t>
      </w:r>
      <w:r>
        <w:rPr>
          <w:rFonts w:hint="eastAsia"/>
        </w:rPr>
        <w:t>设施</w:t>
      </w:r>
      <w:r>
        <w:t>清扫</w:t>
      </w:r>
      <w:r>
        <w:rPr>
          <w:rFonts w:hint="eastAsia"/>
        </w:rPr>
        <w:t>、</w:t>
      </w:r>
      <w:r>
        <w:rPr>
          <w:rFonts w:hint="eastAsia"/>
          <w:lang w:eastAsia="zh-CN"/>
        </w:rPr>
        <w:t>检修</w:t>
      </w:r>
      <w:r>
        <w:rPr>
          <w:rFonts w:hint="eastAsia"/>
        </w:rPr>
        <w:t>维保时，</w:t>
      </w:r>
      <w:r>
        <w:t>如有不慎会发生高处坠落危险。作业人员登高维修作业，均属于高处作业。若围栏等防护设施缺陷、</w:t>
      </w:r>
      <w:r>
        <w:rPr>
          <w:rFonts w:hint="eastAsia"/>
        </w:rPr>
        <w:t>连接</w:t>
      </w:r>
      <w:r>
        <w:t>不牢等原因有可能造成人员高处坠落。</w:t>
      </w:r>
    </w:p>
    <w:p w14:paraId="321A879E">
      <w:pPr>
        <w:pStyle w:val="5"/>
        <w:bidi w:val="0"/>
        <w:rPr>
          <w:rFonts w:hint="default"/>
          <w:color w:val="auto"/>
        </w:rPr>
      </w:pPr>
      <w:r>
        <w:rPr>
          <w:rFonts w:hint="default"/>
          <w:color w:val="auto"/>
        </w:rPr>
        <w:t>物体打击</w:t>
      </w:r>
    </w:p>
    <w:p w14:paraId="41679316">
      <w:pPr>
        <w:bidi w:val="0"/>
        <w:rPr>
          <w:rFonts w:hint="default"/>
          <w:color w:val="auto"/>
        </w:rPr>
      </w:pPr>
      <w:r>
        <w:rPr>
          <w:rFonts w:hint="default"/>
          <w:color w:val="auto"/>
        </w:rPr>
        <w:t>物体打击指在重力或其他外力的作用下产生运动，打击人体造成人身伤亡事故（不包括因机械设备、车辆、起重机械、坍塌等引发的物体打击）。</w:t>
      </w:r>
    </w:p>
    <w:p w14:paraId="0A232605">
      <w:pPr>
        <w:bidi w:val="0"/>
        <w:rPr>
          <w:rFonts w:hint="default"/>
          <w:color w:val="auto"/>
        </w:rPr>
      </w:pPr>
      <w:r>
        <w:t>检维修作业时工作过程中的常用工具随手乱放，拆除的物料随意乱丢、乱堆放，甚至直接向地面抛扔杂物</w:t>
      </w:r>
      <w:r>
        <w:rPr>
          <w:rFonts w:hint="eastAsia"/>
          <w:lang w:eastAsia="zh-CN"/>
        </w:rPr>
        <w:t>；以及灯具、标志牌等老化，日久失修</w:t>
      </w:r>
      <w:r>
        <w:t>等均可能造成物体打击伤害。</w:t>
      </w:r>
      <w:r>
        <w:rPr>
          <w:rFonts w:hint="eastAsia"/>
          <w:lang w:eastAsia="zh-CN"/>
        </w:rPr>
        <w:t>人员在酒店健身房使用器械锻炼时，因力竭或错误使用健身器械时可能造成物体打击伤害。</w:t>
      </w:r>
    </w:p>
    <w:p w14:paraId="0B349FD8">
      <w:pPr>
        <w:pStyle w:val="5"/>
        <w:bidi w:val="0"/>
        <w:rPr>
          <w:rFonts w:hint="default"/>
          <w:color w:val="auto"/>
        </w:rPr>
      </w:pPr>
      <w:r>
        <w:rPr>
          <w:rFonts w:hint="default"/>
          <w:color w:val="auto"/>
        </w:rPr>
        <w:t>车辆伤害</w:t>
      </w:r>
    </w:p>
    <w:p w14:paraId="43BC2D4B">
      <w:pPr>
        <w:bidi w:val="0"/>
        <w:rPr>
          <w:rFonts w:hint="default"/>
          <w:color w:val="auto"/>
        </w:rPr>
      </w:pPr>
      <w:r>
        <w:rPr>
          <w:rFonts w:hint="default"/>
          <w:color w:val="auto"/>
        </w:rPr>
        <w:t>车辆伤害是指机动车辆在行驶中引起的人体坠落和物体倒塌、飞落、挤压造成的伤亡事故。</w:t>
      </w:r>
    </w:p>
    <w:p w14:paraId="387B7425">
      <w:pPr>
        <w:numPr>
          <w:ilvl w:val="0"/>
          <w:numId w:val="0"/>
        </w:numPr>
        <w:bidi w:val="0"/>
        <w:ind w:firstLine="654" w:firstLineChars="200"/>
        <w:rPr>
          <w:rFonts w:hint="default"/>
          <w:color w:val="auto"/>
        </w:rPr>
      </w:pPr>
      <w:r>
        <w:rPr>
          <w:rFonts w:hint="eastAsia"/>
          <w:color w:val="auto"/>
          <w:highlight w:val="none"/>
          <w:lang w:val="en-US" w:eastAsia="zh-CN"/>
        </w:rPr>
        <w:t>酒店内停车场</w:t>
      </w:r>
      <w:r>
        <w:rPr>
          <w:rFonts w:hint="default" w:ascii="Times New Roman" w:hAnsi="Times New Roman"/>
          <w:color w:val="auto"/>
          <w:highlight w:val="none"/>
          <w:lang w:val="en-US" w:eastAsia="zh-CN"/>
        </w:rPr>
        <w:t>进出的车辆较多，</w:t>
      </w:r>
      <w:r>
        <w:rPr>
          <w:rFonts w:hint="eastAsia"/>
          <w:color w:val="auto"/>
          <w:highlight w:val="none"/>
          <w:lang w:val="en-US" w:eastAsia="zh-CN"/>
        </w:rPr>
        <w:t>若</w:t>
      </w:r>
      <w:r>
        <w:rPr>
          <w:rFonts w:hint="default" w:ascii="Times New Roman" w:hAnsi="Times New Roman" w:cs="Times New Roman"/>
          <w:snapToGrid w:val="0"/>
          <w:color w:val="auto"/>
          <w:kern w:val="0"/>
          <w:sz w:val="32"/>
          <w:szCs w:val="32"/>
          <w:highlight w:val="none"/>
          <w:lang w:val="en-US" w:eastAsia="zh-CN"/>
        </w:rPr>
        <w:t>道路指示标识和安全警示标志设置不当或设置有缺陷</w:t>
      </w:r>
      <w:r>
        <w:rPr>
          <w:rFonts w:hint="eastAsia" w:cs="Times New Roman"/>
          <w:snapToGrid w:val="0"/>
          <w:color w:val="auto"/>
          <w:kern w:val="0"/>
          <w:sz w:val="32"/>
          <w:szCs w:val="32"/>
          <w:highlight w:val="none"/>
          <w:lang w:val="en-US" w:eastAsia="zh-CN"/>
        </w:rPr>
        <w:t>或</w:t>
      </w:r>
      <w:r>
        <w:rPr>
          <w:rFonts w:hint="default" w:ascii="Times New Roman" w:hAnsi="Times New Roman"/>
          <w:color w:val="auto"/>
          <w:highlight w:val="none"/>
          <w:lang w:val="en-US" w:eastAsia="zh-CN"/>
        </w:rPr>
        <w:t>进出车辆视线有遮挡，易发生车辆</w:t>
      </w:r>
      <w:r>
        <w:rPr>
          <w:rFonts w:hint="eastAsia"/>
          <w:color w:val="auto"/>
          <w:highlight w:val="none"/>
          <w:lang w:val="en-US" w:eastAsia="zh-CN"/>
        </w:rPr>
        <w:t>伤害事故。</w:t>
      </w:r>
      <w:r>
        <w:rPr>
          <w:rFonts w:hint="default" w:ascii="Times New Roman" w:hAnsi="Times New Roman"/>
          <w:color w:val="auto"/>
          <w:highlight w:val="none"/>
          <w:lang w:val="en-US" w:eastAsia="zh-CN"/>
        </w:rPr>
        <w:t>另外，</w:t>
      </w:r>
      <w:r>
        <w:rPr>
          <w:rFonts w:hint="default" w:ascii="Times New Roman" w:hAnsi="Times New Roman" w:cs="Times New Roman"/>
          <w:snapToGrid w:val="0"/>
          <w:color w:val="auto"/>
          <w:kern w:val="0"/>
          <w:sz w:val="32"/>
          <w:szCs w:val="32"/>
          <w:highlight w:val="none"/>
          <w:lang w:val="en-US" w:eastAsia="zh-CN"/>
        </w:rPr>
        <w:t>机动车辆超速行驶，机动车辆无证人员驾驶，车辆控制系统缺陷或失效，特别是刹车装置、喇叭等出现故障</w:t>
      </w:r>
      <w:r>
        <w:rPr>
          <w:rFonts w:hint="default" w:ascii="Times New Roman" w:hAnsi="Times New Roman"/>
          <w:color w:val="auto"/>
          <w:highlight w:val="none"/>
          <w:lang w:val="en-US" w:eastAsia="zh-CN"/>
        </w:rPr>
        <w:t>则可能会发生车辆</w:t>
      </w:r>
      <w:r>
        <w:rPr>
          <w:rFonts w:hint="eastAsia"/>
          <w:color w:val="auto"/>
          <w:highlight w:val="none"/>
          <w:lang w:val="en-US" w:eastAsia="zh-CN"/>
        </w:rPr>
        <w:t>伤害</w:t>
      </w:r>
      <w:r>
        <w:rPr>
          <w:rFonts w:hint="default" w:ascii="Times New Roman" w:hAnsi="Times New Roman"/>
          <w:color w:val="auto"/>
          <w:highlight w:val="none"/>
          <w:lang w:val="en-US" w:eastAsia="zh-CN"/>
        </w:rPr>
        <w:t>事故。</w:t>
      </w:r>
    </w:p>
    <w:p w14:paraId="7D5AE697">
      <w:pPr>
        <w:pStyle w:val="5"/>
        <w:bidi w:val="0"/>
        <w:rPr>
          <w:rFonts w:hint="default"/>
          <w:color w:val="auto"/>
        </w:rPr>
      </w:pPr>
      <w:r>
        <w:rPr>
          <w:rFonts w:hint="default"/>
          <w:color w:val="auto"/>
        </w:rPr>
        <w:t>起重伤害</w:t>
      </w:r>
    </w:p>
    <w:p w14:paraId="52C9CDE1">
      <w:pPr>
        <w:numPr>
          <w:ilvl w:val="0"/>
          <w:numId w:val="0"/>
        </w:numPr>
        <w:bidi w:val="0"/>
        <w:ind w:firstLine="654" w:firstLineChars="200"/>
        <w:rPr>
          <w:rFonts w:hint="default"/>
        </w:rPr>
      </w:pPr>
      <w:r>
        <w:rPr>
          <w:rFonts w:hint="eastAsia"/>
          <w:color w:val="auto"/>
        </w:rPr>
        <w:t>电梯在运行的过程中，是将机械能转换为了势能，</w:t>
      </w:r>
      <w:r>
        <w:rPr>
          <w:rFonts w:hint="eastAsia"/>
          <w:color w:val="auto"/>
          <w:lang w:eastAsia="zh-CN"/>
        </w:rPr>
        <w:t>若酒店</w:t>
      </w:r>
      <w:r>
        <w:rPr>
          <w:rFonts w:hint="eastAsia"/>
          <w:color w:val="auto"/>
        </w:rPr>
        <w:t>电梯维护不到位</w:t>
      </w:r>
      <w:r>
        <w:rPr>
          <w:rFonts w:hint="eastAsia"/>
          <w:color w:val="auto"/>
          <w:lang w:eastAsia="zh-CN"/>
        </w:rPr>
        <w:t>、未定期进行检测或</w:t>
      </w:r>
      <w:r>
        <w:rPr>
          <w:rFonts w:hint="eastAsia"/>
          <w:color w:val="auto"/>
        </w:rPr>
        <w:t>在载人运行的过程中突发故障，垂直电梯轿厢可能会从高处快速下落，轿厢内的人员会因此伤亡，造成电梯事故。</w:t>
      </w:r>
    </w:p>
    <w:p w14:paraId="058E31A3">
      <w:pPr>
        <w:pStyle w:val="5"/>
        <w:bidi w:val="0"/>
        <w:rPr>
          <w:rFonts w:hint="default"/>
        </w:rPr>
      </w:pPr>
      <w:r>
        <w:rPr>
          <w:rFonts w:hint="default"/>
        </w:rPr>
        <w:t>淹溺</w:t>
      </w:r>
    </w:p>
    <w:p w14:paraId="431F72DA">
      <w:pPr>
        <w:bidi w:val="0"/>
        <w:rPr>
          <w:rFonts w:hint="default"/>
        </w:rPr>
      </w:pPr>
      <w:r>
        <w:rPr>
          <w:rFonts w:hint="eastAsia"/>
          <w:lang w:val="en-US" w:eastAsia="zh-CN"/>
        </w:rPr>
        <w:t>酒店</w:t>
      </w:r>
      <w:r>
        <w:rPr>
          <w:rFonts w:hint="default"/>
        </w:rPr>
        <w:t>设有</w:t>
      </w:r>
      <w:r>
        <w:rPr>
          <w:rFonts w:hint="eastAsia"/>
          <w:lang w:val="en-US" w:eastAsia="zh-CN"/>
        </w:rPr>
        <w:t>消防水箱、生活水箱、化粪池</w:t>
      </w:r>
      <w:r>
        <w:rPr>
          <w:rFonts w:hint="default"/>
        </w:rPr>
        <w:t>等</w:t>
      </w:r>
      <w:r>
        <w:rPr>
          <w:rFonts w:hint="eastAsia"/>
          <w:lang w:val="en-US" w:eastAsia="zh-CN"/>
        </w:rPr>
        <w:t>封闭或半封闭的区域</w:t>
      </w:r>
      <w:r>
        <w:rPr>
          <w:rFonts w:hint="default"/>
        </w:rPr>
        <w:t>，若池边未加装防护栏或护栏</w:t>
      </w:r>
      <w:r>
        <w:rPr>
          <w:rFonts w:hint="default"/>
          <w:lang w:val="en-US" w:eastAsia="zh-CN"/>
        </w:rPr>
        <w:t>年</w:t>
      </w:r>
      <w:r>
        <w:rPr>
          <w:rFonts w:hint="default"/>
        </w:rPr>
        <w:t>久失修，夜间作业照明不佳，作业人员大意或操作失误，均有可能发生淹溺事故。</w:t>
      </w:r>
    </w:p>
    <w:p w14:paraId="7AB47940">
      <w:pPr>
        <w:bidi w:val="0"/>
        <w:rPr>
          <w:rFonts w:hint="eastAsia" w:eastAsia="仿宋"/>
          <w:lang w:eastAsia="zh-CN"/>
        </w:rPr>
      </w:pPr>
      <w:r>
        <w:rPr>
          <w:rFonts w:hint="eastAsia"/>
          <w:lang w:val="en-US" w:eastAsia="zh-CN"/>
        </w:rPr>
        <w:t>酒店</w:t>
      </w:r>
      <w:r>
        <w:rPr>
          <w:rFonts w:hint="default"/>
        </w:rPr>
        <w:t>设有</w:t>
      </w:r>
      <w:r>
        <w:rPr>
          <w:rFonts w:hint="eastAsia"/>
          <w:lang w:eastAsia="zh-CN"/>
        </w:rPr>
        <w:t>游泳池</w:t>
      </w:r>
      <w:r>
        <w:rPr>
          <w:rFonts w:hint="eastAsia"/>
          <w:lang w:val="en-US" w:eastAsia="zh-CN"/>
        </w:rPr>
        <w:t>及温泉</w:t>
      </w:r>
      <w:r>
        <w:rPr>
          <w:rFonts w:hint="eastAsia"/>
          <w:lang w:eastAsia="zh-CN"/>
        </w:rPr>
        <w:t>。在泳池</w:t>
      </w:r>
      <w:r>
        <w:rPr>
          <w:rFonts w:hint="eastAsia"/>
          <w:lang w:val="en-US" w:eastAsia="zh-CN"/>
        </w:rPr>
        <w:t>或温泉场地</w:t>
      </w:r>
      <w:r>
        <w:rPr>
          <w:rFonts w:hint="eastAsia"/>
          <w:lang w:eastAsia="zh-CN"/>
        </w:rPr>
        <w:t>，若</w:t>
      </w:r>
      <w:r>
        <w:rPr>
          <w:rFonts w:hint="default" w:ascii="Times New Roman" w:hAnsi="Times New Roman" w:cs="Times New Roman"/>
          <w:snapToGrid w:val="0"/>
          <w:color w:val="auto"/>
          <w:kern w:val="0"/>
          <w:sz w:val="32"/>
          <w:szCs w:val="32"/>
          <w:highlight w:val="none"/>
          <w:lang w:val="en-US" w:eastAsia="zh-CN"/>
        </w:rPr>
        <w:t>安全警示标志设置不当或设置有缺陷</w:t>
      </w:r>
      <w:r>
        <w:rPr>
          <w:rFonts w:hint="eastAsia" w:cs="Times New Roman"/>
          <w:snapToGrid w:val="0"/>
          <w:color w:val="auto"/>
          <w:kern w:val="0"/>
          <w:sz w:val="32"/>
          <w:szCs w:val="32"/>
          <w:highlight w:val="none"/>
          <w:lang w:val="en-US" w:eastAsia="zh-CN"/>
        </w:rPr>
        <w:t>，可能会因为标识提示不当造成淹溺事件。在泳池外，由于地面湿滑可能导致人员滑倒落水，在泳池内，由于水深不一致，泳池内人员可能会遇到淹溺风险。水太深可能导致游泳者疲劳过度，无法保持浮力，</w:t>
      </w:r>
      <w:r>
        <w:rPr>
          <w:rFonts w:hint="default"/>
        </w:rPr>
        <w:t>有可能发生淹溺事故</w:t>
      </w:r>
      <w:r>
        <w:rPr>
          <w:rFonts w:hint="eastAsia" w:cs="Times New Roman"/>
          <w:snapToGrid w:val="0"/>
          <w:color w:val="auto"/>
          <w:kern w:val="0"/>
          <w:sz w:val="32"/>
          <w:szCs w:val="32"/>
          <w:highlight w:val="none"/>
          <w:lang w:val="en-US" w:eastAsia="zh-CN"/>
        </w:rPr>
        <w:t>。</w:t>
      </w:r>
    </w:p>
    <w:p w14:paraId="0C8911DF">
      <w:pPr>
        <w:pStyle w:val="5"/>
        <w:bidi w:val="0"/>
        <w:rPr>
          <w:rFonts w:hint="default"/>
        </w:rPr>
      </w:pPr>
      <w:r>
        <w:rPr>
          <w:rFonts w:hint="eastAsia"/>
          <w:lang w:eastAsia="zh-CN"/>
        </w:rPr>
        <w:t>其他伤害（踩踏事故）</w:t>
      </w:r>
    </w:p>
    <w:p w14:paraId="12A2870E">
      <w:pPr>
        <w:ind w:firstLine="655"/>
        <w:rPr>
          <w:rFonts w:hint="eastAsia"/>
        </w:rPr>
      </w:pPr>
      <w:r>
        <w:rPr>
          <w:rFonts w:hint="eastAsia"/>
          <w:lang w:eastAsia="zh-CN"/>
        </w:rPr>
        <w:t>酒店</w:t>
      </w:r>
      <w:r>
        <w:rPr>
          <w:rFonts w:hint="eastAsia"/>
          <w:lang w:val="en-US" w:eastAsia="zh-CN"/>
        </w:rPr>
        <w:t>举办大型活动、</w:t>
      </w:r>
      <w:r>
        <w:rPr>
          <w:rFonts w:hint="eastAsia"/>
        </w:rPr>
        <w:t>发生</w:t>
      </w:r>
      <w:r>
        <w:rPr>
          <w:rFonts w:hint="eastAsia"/>
          <w:lang w:val="en-US" w:eastAsia="zh-CN"/>
        </w:rPr>
        <w:t>其他</w:t>
      </w:r>
      <w:r>
        <w:rPr>
          <w:rFonts w:hint="eastAsia"/>
        </w:rPr>
        <w:t>事故或意外</w:t>
      </w:r>
      <w:r>
        <w:rPr>
          <w:rFonts w:hint="eastAsia"/>
          <w:lang w:eastAsia="zh-CN"/>
        </w:rPr>
        <w:t>突发</w:t>
      </w:r>
      <w:r>
        <w:rPr>
          <w:rFonts w:hint="eastAsia"/>
        </w:rPr>
        <w:t>事件，需要组织人员</w:t>
      </w:r>
      <w:r>
        <w:rPr>
          <w:rFonts w:hint="eastAsia"/>
          <w:lang w:eastAsia="zh-CN"/>
        </w:rPr>
        <w:t>进行应急</w:t>
      </w:r>
      <w:r>
        <w:rPr>
          <w:rFonts w:hint="eastAsia"/>
        </w:rPr>
        <w:t>疏散时，如果组织工作不到位，人员疏散混乱无序可能会引发人员踩踏事故。</w:t>
      </w:r>
    </w:p>
    <w:p w14:paraId="5A9653C9">
      <w:pPr>
        <w:pStyle w:val="5"/>
        <w:numPr>
          <w:ilvl w:val="2"/>
          <w:numId w:val="0"/>
        </w:numPr>
        <w:ind w:firstLine="654" w:firstLineChars="200"/>
        <w:rPr>
          <w:rFonts w:hint="default"/>
        </w:rPr>
      </w:pPr>
      <w:r>
        <w:rPr>
          <w:rFonts w:hint="eastAsia"/>
        </w:rPr>
        <w:t>综上所述，</w:t>
      </w:r>
      <w:r>
        <w:rPr>
          <w:rFonts w:hint="eastAsia"/>
          <w:lang w:eastAsia="zh-CN"/>
        </w:rPr>
        <w:t>作业</w:t>
      </w:r>
      <w:r>
        <w:rPr>
          <w:rFonts w:hint="eastAsia"/>
        </w:rPr>
        <w:t>过程中，存在的主要危险有害因素</w:t>
      </w:r>
      <w:r>
        <w:rPr>
          <w:rFonts w:hint="eastAsia"/>
          <w:lang w:eastAsia="zh-CN"/>
        </w:rPr>
        <w:t>易导致</w:t>
      </w:r>
      <w:r>
        <w:rPr>
          <w:rFonts w:hint="eastAsia"/>
        </w:rPr>
        <w:t>火灾、爆炸、</w:t>
      </w:r>
      <w:r>
        <w:rPr>
          <w:rFonts w:hint="eastAsia"/>
          <w:lang w:eastAsia="zh-CN"/>
        </w:rPr>
        <w:t>中毒和窒息、灼烫、触电、机械伤害、高处坠落、物体打击、车辆伤害、起重伤害、淹溺、其他伤害（踩踏事故）</w:t>
      </w:r>
      <w:r>
        <w:rPr>
          <w:rFonts w:hint="eastAsia"/>
        </w:rPr>
        <w:t>。</w:t>
      </w:r>
    </w:p>
    <w:p w14:paraId="518214B1">
      <w:pPr>
        <w:pStyle w:val="4"/>
        <w:bidi w:val="0"/>
        <w:rPr>
          <w:color w:val="auto"/>
        </w:rPr>
      </w:pPr>
      <w:bookmarkStart w:id="17" w:name="_Toc4125"/>
      <w:bookmarkStart w:id="18" w:name="_Toc18663"/>
      <w:bookmarkStart w:id="19" w:name="_Toc27710"/>
      <w:bookmarkStart w:id="20" w:name="_Toc14624"/>
      <w:bookmarkStart w:id="21" w:name="_Toc28352"/>
      <w:bookmarkStart w:id="22" w:name="_Toc2534"/>
      <w:r>
        <w:rPr>
          <w:rFonts w:hint="eastAsia"/>
        </w:rPr>
        <w:t>安全管理危险有害因素辨识分析</w:t>
      </w:r>
      <w:bookmarkEnd w:id="17"/>
      <w:bookmarkEnd w:id="18"/>
      <w:bookmarkEnd w:id="19"/>
      <w:bookmarkEnd w:id="20"/>
      <w:bookmarkEnd w:id="21"/>
      <w:bookmarkEnd w:id="22"/>
    </w:p>
    <w:p w14:paraId="2B296D72">
      <w:pPr>
        <w:numPr>
          <w:ilvl w:val="0"/>
          <w:numId w:val="8"/>
        </w:numPr>
        <w:bidi w:val="0"/>
        <w:rPr>
          <w:rFonts w:hint="eastAsia"/>
          <w:color w:val="auto"/>
        </w:rPr>
      </w:pPr>
      <w:r>
        <w:rPr>
          <w:rFonts w:hint="eastAsia"/>
          <w:color w:val="auto"/>
          <w:lang w:eastAsia="zh-CN"/>
        </w:rPr>
        <w:t>酒店</w:t>
      </w:r>
      <w:r>
        <w:rPr>
          <w:rFonts w:hint="eastAsia"/>
          <w:color w:val="auto"/>
        </w:rPr>
        <w:t>主要负责人、安全</w:t>
      </w:r>
      <w:r>
        <w:rPr>
          <w:rFonts w:hint="eastAsia"/>
          <w:color w:val="auto"/>
          <w:lang w:eastAsia="zh-CN"/>
        </w:rPr>
        <w:t>生产</w:t>
      </w:r>
      <w:r>
        <w:rPr>
          <w:rFonts w:hint="eastAsia"/>
          <w:color w:val="auto"/>
        </w:rPr>
        <w:t>管理人员、消防设施管理操作人员未经过相应的安全及专业技术培训、不具备安全操作的专业技能，存在潜在危险。</w:t>
      </w:r>
    </w:p>
    <w:p w14:paraId="34FADF36">
      <w:pPr>
        <w:numPr>
          <w:ilvl w:val="0"/>
          <w:numId w:val="8"/>
        </w:numPr>
        <w:bidi w:val="0"/>
        <w:rPr>
          <w:rFonts w:hint="eastAsia"/>
          <w:color w:val="auto"/>
        </w:rPr>
      </w:pPr>
      <w:r>
        <w:rPr>
          <w:rFonts w:hint="eastAsia"/>
          <w:color w:val="auto"/>
        </w:rPr>
        <w:t>若未建立完善的管理制度和岗位责任制或管理不到位，有违章操作行为，存在潜在危险。</w:t>
      </w:r>
    </w:p>
    <w:p w14:paraId="15B5F056">
      <w:pPr>
        <w:numPr>
          <w:ilvl w:val="0"/>
          <w:numId w:val="8"/>
        </w:numPr>
        <w:bidi w:val="0"/>
        <w:rPr>
          <w:rFonts w:hint="eastAsia"/>
          <w:color w:val="auto"/>
        </w:rPr>
      </w:pPr>
      <w:r>
        <w:rPr>
          <w:rFonts w:hint="eastAsia"/>
          <w:color w:val="auto"/>
          <w:lang w:eastAsia="zh-CN"/>
        </w:rPr>
        <w:t>安全资金投入不够，安全设施不完善，安全隐患得不到及时整改。</w:t>
      </w:r>
    </w:p>
    <w:p w14:paraId="150C67A2">
      <w:pPr>
        <w:numPr>
          <w:ilvl w:val="0"/>
          <w:numId w:val="8"/>
        </w:numPr>
        <w:bidi w:val="0"/>
        <w:rPr>
          <w:rFonts w:hint="eastAsia"/>
          <w:color w:val="auto"/>
        </w:rPr>
      </w:pPr>
      <w:r>
        <w:rPr>
          <w:rFonts w:hint="eastAsia"/>
          <w:color w:val="auto"/>
        </w:rPr>
        <w:t>消防设施的巡检制度不落实，可能导致消防设施出现故障不能被及时发现，发生火灾时消防设施不能正常工作，贻误战机，造成事故扩大。</w:t>
      </w:r>
    </w:p>
    <w:p w14:paraId="53236434">
      <w:pPr>
        <w:numPr>
          <w:ilvl w:val="0"/>
          <w:numId w:val="8"/>
        </w:numPr>
        <w:bidi w:val="0"/>
        <w:rPr>
          <w:rFonts w:hint="eastAsia"/>
          <w:color w:val="auto"/>
          <w:lang w:eastAsia="zh-CN"/>
        </w:rPr>
      </w:pPr>
      <w:r>
        <w:rPr>
          <w:rFonts w:hint="eastAsia"/>
          <w:color w:val="auto"/>
        </w:rPr>
        <w:t>带电操作的工作人员不注意个人防护，或防护措施失效，容易造成触电事故。</w:t>
      </w:r>
    </w:p>
    <w:p w14:paraId="66DEA571">
      <w:pPr>
        <w:numPr>
          <w:ilvl w:val="0"/>
          <w:numId w:val="8"/>
        </w:numPr>
        <w:bidi w:val="0"/>
        <w:rPr>
          <w:rFonts w:hint="eastAsia"/>
          <w:color w:val="auto"/>
          <w:lang w:eastAsia="zh-CN"/>
        </w:rPr>
      </w:pPr>
      <w:r>
        <w:rPr>
          <w:rFonts w:hint="eastAsia"/>
          <w:color w:val="auto"/>
          <w:lang w:eastAsia="zh-CN"/>
        </w:rPr>
        <w:t>违章作业：包括违章指挥、违章操作、操作错误等。</w:t>
      </w:r>
    </w:p>
    <w:p w14:paraId="76940048">
      <w:pPr>
        <w:numPr>
          <w:ilvl w:val="0"/>
          <w:numId w:val="8"/>
        </w:numPr>
        <w:bidi w:val="0"/>
        <w:rPr>
          <w:rFonts w:hint="eastAsia"/>
          <w:color w:val="auto"/>
          <w:lang w:eastAsia="zh-CN"/>
        </w:rPr>
      </w:pPr>
      <w:r>
        <w:rPr>
          <w:rFonts w:hint="eastAsia"/>
          <w:color w:val="auto"/>
        </w:rPr>
        <w:t>若未配备必要的应急器材或应急器材损坏、灭火器、防护用品失效等，易使火灾等事故扩大。</w:t>
      </w:r>
    </w:p>
    <w:p w14:paraId="23389248">
      <w:pPr>
        <w:numPr>
          <w:ilvl w:val="0"/>
          <w:numId w:val="8"/>
        </w:numPr>
        <w:bidi w:val="0"/>
        <w:rPr>
          <w:rFonts w:hint="eastAsia"/>
          <w:color w:val="auto"/>
          <w:highlight w:val="none"/>
          <w:lang w:eastAsia="zh-CN"/>
        </w:rPr>
      </w:pPr>
      <w:r>
        <w:rPr>
          <w:rFonts w:hint="eastAsia"/>
          <w:color w:val="auto"/>
          <w:highlight w:val="none"/>
          <w:lang w:eastAsia="zh-CN"/>
        </w:rPr>
        <w:t>酒店是人员密集场所，如住宿人流量过大发生突发事件后，现场维护秩序措施不到位，人员过度拥挤，可能会引起人员踩踏事故发生。</w:t>
      </w:r>
    </w:p>
    <w:p w14:paraId="0A771A0F">
      <w:pPr>
        <w:bidi w:val="0"/>
      </w:pPr>
      <w:r>
        <w:rPr>
          <w:rFonts w:hint="eastAsia"/>
          <w:color w:val="auto"/>
          <w:lang w:eastAsia="zh-CN"/>
        </w:rPr>
        <w:t>综上所述，安全管理过程中，存在的主要危险有害因素有：火灾、触电、人员踩踏等安全事故发生。</w:t>
      </w:r>
    </w:p>
    <w:p w14:paraId="4A87C24B">
      <w:pPr>
        <w:pStyle w:val="4"/>
        <w:bidi w:val="0"/>
        <w:rPr>
          <w:rFonts w:hint="default"/>
          <w:color w:val="auto"/>
        </w:rPr>
      </w:pPr>
      <w:bookmarkStart w:id="23" w:name="_Toc32631"/>
      <w:r>
        <w:rPr>
          <w:rFonts w:hint="default"/>
          <w:color w:val="auto"/>
          <w:lang w:val="en-US" w:eastAsia="zh-CN"/>
        </w:rPr>
        <w:t>危险有害因素辨识分析结果汇总</w:t>
      </w:r>
      <w:bookmarkEnd w:id="23"/>
    </w:p>
    <w:p w14:paraId="100E5B48">
      <w:pPr>
        <w:bidi w:val="0"/>
        <w:rPr>
          <w:rFonts w:hint="default"/>
          <w:color w:val="auto"/>
          <w:lang w:eastAsia="zh-CN"/>
        </w:rPr>
      </w:pPr>
      <w:r>
        <w:rPr>
          <w:rFonts w:hint="default"/>
          <w:color w:val="auto"/>
        </w:rPr>
        <w:t>根据《企业职工伤亡事故类别》（GB6441-1986）的分类标准，</w:t>
      </w:r>
      <w:r>
        <w:rPr>
          <w:rFonts w:hint="eastAsia"/>
          <w:color w:val="auto"/>
          <w:lang w:val="en-US" w:eastAsia="zh-CN"/>
        </w:rPr>
        <w:t>酒店</w:t>
      </w:r>
      <w:r>
        <w:rPr>
          <w:rFonts w:hint="default"/>
          <w:color w:val="auto"/>
        </w:rPr>
        <w:t>目存在的主要危险有害因素汇总如下表</w:t>
      </w:r>
      <w:r>
        <w:rPr>
          <w:rFonts w:hint="default"/>
          <w:color w:val="auto"/>
          <w:lang w:eastAsia="zh-CN"/>
        </w:rPr>
        <w:t>：</w:t>
      </w:r>
    </w:p>
    <w:p w14:paraId="01073370">
      <w:pPr>
        <w:bidi w:val="0"/>
        <w:ind w:left="0" w:leftChars="0"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主要危险</w:t>
      </w:r>
      <w:r>
        <w:rPr>
          <w:rFonts w:hint="eastAsia" w:ascii="宋体" w:hAnsi="宋体" w:eastAsia="宋体" w:cs="宋体"/>
          <w:b/>
          <w:bCs/>
          <w:color w:val="auto"/>
          <w:sz w:val="28"/>
          <w:szCs w:val="28"/>
          <w:lang w:eastAsia="zh-CN"/>
        </w:rPr>
        <w:t>有害因素辨识分析</w:t>
      </w:r>
      <w:r>
        <w:rPr>
          <w:rFonts w:hint="eastAsia" w:ascii="宋体" w:hAnsi="宋体" w:eastAsia="宋体" w:cs="宋体"/>
          <w:b/>
          <w:bCs/>
          <w:color w:val="auto"/>
          <w:sz w:val="28"/>
          <w:szCs w:val="28"/>
        </w:rPr>
        <w:t>结果汇总表</w:t>
      </w:r>
    </w:p>
    <w:tbl>
      <w:tblPr>
        <w:tblStyle w:val="26"/>
        <w:tblW w:w="9035"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0" w:type="dxa"/>
          <w:bottom w:w="0" w:type="dxa"/>
          <w:right w:w="0" w:type="dxa"/>
        </w:tblCellMar>
      </w:tblPr>
      <w:tblGrid>
        <w:gridCol w:w="720"/>
        <w:gridCol w:w="2395"/>
        <w:gridCol w:w="5920"/>
      </w:tblGrid>
      <w:tr w14:paraId="181610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tblHeader/>
          <w:jc w:val="center"/>
        </w:trPr>
        <w:tc>
          <w:tcPr>
            <w:tcW w:w="720" w:type="dxa"/>
            <w:tcBorders>
              <w:tl2br w:val="nil"/>
              <w:tr2bl w:val="nil"/>
            </w:tcBorders>
            <w:noWrap/>
            <w:tcMar>
              <w:top w:w="15" w:type="dxa"/>
              <w:left w:w="15" w:type="dxa"/>
              <w:right w:w="15" w:type="dxa"/>
            </w:tcMar>
            <w:vAlign w:val="center"/>
          </w:tcPr>
          <w:p w14:paraId="7DBDA45D">
            <w:pPr>
              <w:pStyle w:val="36"/>
              <w:bidi w:val="0"/>
              <w:rPr>
                <w:rFonts w:hint="default"/>
                <w:b/>
                <w:bCs/>
                <w:color w:val="auto"/>
              </w:rPr>
            </w:pPr>
            <w:r>
              <w:rPr>
                <w:rFonts w:hint="default"/>
                <w:b/>
                <w:bCs/>
                <w:color w:val="auto"/>
                <w:lang w:val="en-US" w:eastAsia="zh-CN"/>
              </w:rPr>
              <w:t>序号</w:t>
            </w:r>
          </w:p>
        </w:tc>
        <w:tc>
          <w:tcPr>
            <w:tcW w:w="2395" w:type="dxa"/>
            <w:tcBorders>
              <w:tl2br w:val="nil"/>
              <w:tr2bl w:val="nil"/>
            </w:tcBorders>
            <w:noWrap w:val="0"/>
            <w:tcMar>
              <w:top w:w="15" w:type="dxa"/>
              <w:left w:w="15" w:type="dxa"/>
              <w:right w:w="15" w:type="dxa"/>
            </w:tcMar>
            <w:vAlign w:val="center"/>
          </w:tcPr>
          <w:p w14:paraId="5E7BCDBD">
            <w:pPr>
              <w:pStyle w:val="36"/>
              <w:bidi w:val="0"/>
              <w:rPr>
                <w:rFonts w:hint="default"/>
                <w:b/>
                <w:bCs/>
                <w:color w:val="auto"/>
              </w:rPr>
            </w:pPr>
            <w:r>
              <w:rPr>
                <w:rFonts w:hint="default"/>
                <w:b/>
                <w:bCs/>
                <w:color w:val="auto"/>
                <w:lang w:val="en-US" w:eastAsia="zh-CN"/>
              </w:rPr>
              <w:t>辨识类型</w:t>
            </w:r>
          </w:p>
        </w:tc>
        <w:tc>
          <w:tcPr>
            <w:tcW w:w="5920" w:type="dxa"/>
            <w:tcBorders>
              <w:tl2br w:val="nil"/>
              <w:tr2bl w:val="nil"/>
            </w:tcBorders>
            <w:noWrap w:val="0"/>
            <w:tcMar>
              <w:top w:w="15" w:type="dxa"/>
              <w:left w:w="15" w:type="dxa"/>
              <w:right w:w="15" w:type="dxa"/>
            </w:tcMar>
            <w:vAlign w:val="center"/>
          </w:tcPr>
          <w:p w14:paraId="186E8368">
            <w:pPr>
              <w:pStyle w:val="36"/>
              <w:bidi w:val="0"/>
              <w:rPr>
                <w:rFonts w:hint="default"/>
                <w:b/>
                <w:bCs/>
                <w:color w:val="auto"/>
              </w:rPr>
            </w:pPr>
            <w:r>
              <w:rPr>
                <w:rFonts w:hint="eastAsia"/>
                <w:b/>
                <w:bCs/>
                <w:color w:val="auto"/>
                <w:lang w:val="en-US" w:eastAsia="zh-CN"/>
              </w:rPr>
              <w:t>事故类型</w:t>
            </w:r>
          </w:p>
        </w:tc>
      </w:tr>
      <w:tr w14:paraId="20EF2F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0195E975">
            <w:pPr>
              <w:pStyle w:val="36"/>
              <w:bidi w:val="0"/>
              <w:rPr>
                <w:rFonts w:hint="default"/>
                <w:color w:val="auto"/>
              </w:rPr>
            </w:pPr>
            <w:r>
              <w:rPr>
                <w:rFonts w:hint="default"/>
                <w:color w:val="auto"/>
                <w:lang w:val="en-US" w:eastAsia="zh-CN"/>
              </w:rPr>
              <w:t>1</w:t>
            </w:r>
          </w:p>
        </w:tc>
        <w:tc>
          <w:tcPr>
            <w:tcW w:w="2395" w:type="dxa"/>
            <w:tcBorders>
              <w:tl2br w:val="nil"/>
              <w:tr2bl w:val="nil"/>
            </w:tcBorders>
            <w:noWrap w:val="0"/>
            <w:tcMar>
              <w:top w:w="15" w:type="dxa"/>
              <w:left w:w="15" w:type="dxa"/>
              <w:right w:w="15" w:type="dxa"/>
            </w:tcMar>
            <w:vAlign w:val="center"/>
          </w:tcPr>
          <w:p w14:paraId="480B939C">
            <w:pPr>
              <w:pStyle w:val="36"/>
              <w:bidi w:val="0"/>
              <w:rPr>
                <w:rFonts w:hint="default"/>
                <w:color w:val="auto"/>
                <w:lang w:val="en-US" w:eastAsia="zh-CN"/>
              </w:rPr>
            </w:pPr>
            <w:r>
              <w:rPr>
                <w:rFonts w:hint="default"/>
                <w:color w:val="auto"/>
                <w:lang w:val="en-US" w:eastAsia="zh-CN"/>
              </w:rPr>
              <w:t>物质危险有</w:t>
            </w:r>
          </w:p>
          <w:p w14:paraId="17784BCC">
            <w:pPr>
              <w:pStyle w:val="36"/>
              <w:bidi w:val="0"/>
              <w:rPr>
                <w:rFonts w:hint="default"/>
                <w:color w:val="auto"/>
              </w:rPr>
            </w:pPr>
            <w:r>
              <w:rPr>
                <w:rFonts w:hint="default"/>
                <w:color w:val="auto"/>
                <w:lang w:val="en-US" w:eastAsia="zh-CN"/>
              </w:rPr>
              <w:t>害因素辨识</w:t>
            </w:r>
          </w:p>
        </w:tc>
        <w:tc>
          <w:tcPr>
            <w:tcW w:w="5920" w:type="dxa"/>
            <w:tcBorders>
              <w:tl2br w:val="nil"/>
              <w:tr2bl w:val="nil"/>
            </w:tcBorders>
            <w:noWrap w:val="0"/>
            <w:tcMar>
              <w:top w:w="15" w:type="dxa"/>
              <w:left w:w="15" w:type="dxa"/>
              <w:right w:w="15" w:type="dxa"/>
            </w:tcMar>
            <w:vAlign w:val="center"/>
          </w:tcPr>
          <w:p w14:paraId="5A60C073">
            <w:pPr>
              <w:pStyle w:val="36"/>
              <w:bidi w:val="0"/>
              <w:rPr>
                <w:rFonts w:hint="default"/>
                <w:color w:val="auto"/>
              </w:rPr>
            </w:pPr>
            <w:r>
              <w:rPr>
                <w:rFonts w:hint="default"/>
                <w:color w:val="auto"/>
                <w:lang w:val="en-US" w:eastAsia="zh-CN"/>
              </w:rPr>
              <w:t>火灾</w:t>
            </w:r>
            <w:r>
              <w:rPr>
                <w:rFonts w:hint="eastAsia"/>
                <w:color w:val="auto"/>
                <w:lang w:val="en-US" w:eastAsia="zh-CN"/>
              </w:rPr>
              <w:t>、</w:t>
            </w:r>
            <w:r>
              <w:rPr>
                <w:rFonts w:hint="default"/>
                <w:color w:val="auto"/>
                <w:lang w:val="en-US" w:eastAsia="zh-CN"/>
              </w:rPr>
              <w:t>爆炸、中毒和窒息</w:t>
            </w:r>
          </w:p>
        </w:tc>
      </w:tr>
      <w:tr w14:paraId="598D2D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2FF5F72E">
            <w:pPr>
              <w:pStyle w:val="36"/>
              <w:bidi w:val="0"/>
              <w:jc w:val="center"/>
              <w:rPr>
                <w:rFonts w:hint="default"/>
                <w:color w:val="auto"/>
                <w:lang w:val="en-US" w:eastAsia="zh-CN"/>
              </w:rPr>
            </w:pPr>
            <w:r>
              <w:rPr>
                <w:rFonts w:hint="eastAsia"/>
                <w:color w:val="auto"/>
                <w:lang w:val="en-US" w:eastAsia="zh-CN"/>
              </w:rPr>
              <w:t>2</w:t>
            </w:r>
          </w:p>
        </w:tc>
        <w:tc>
          <w:tcPr>
            <w:tcW w:w="2395" w:type="dxa"/>
            <w:tcBorders>
              <w:tl2br w:val="nil"/>
              <w:tr2bl w:val="nil"/>
            </w:tcBorders>
            <w:noWrap w:val="0"/>
            <w:tcMar>
              <w:top w:w="15" w:type="dxa"/>
              <w:left w:w="15" w:type="dxa"/>
              <w:right w:w="15" w:type="dxa"/>
            </w:tcMar>
            <w:vAlign w:val="center"/>
          </w:tcPr>
          <w:p w14:paraId="72CCEBF7">
            <w:pPr>
              <w:pStyle w:val="36"/>
              <w:bidi w:val="0"/>
              <w:jc w:val="center"/>
              <w:rPr>
                <w:rFonts w:hint="eastAsia"/>
                <w:color w:val="auto"/>
                <w:lang w:val="en-US" w:eastAsia="zh-CN"/>
              </w:rPr>
            </w:pPr>
            <w:r>
              <w:rPr>
                <w:rFonts w:hint="eastAsia"/>
                <w:color w:val="auto"/>
                <w:lang w:val="en-US" w:eastAsia="zh-CN"/>
              </w:rPr>
              <w:t>自然条件危险</w:t>
            </w:r>
          </w:p>
          <w:p w14:paraId="139DB394">
            <w:pPr>
              <w:pStyle w:val="36"/>
              <w:bidi w:val="0"/>
              <w:jc w:val="center"/>
              <w:rPr>
                <w:rFonts w:hint="default"/>
                <w:color w:val="auto"/>
                <w:lang w:val="en-US" w:eastAsia="zh-CN"/>
              </w:rPr>
            </w:pPr>
            <w:r>
              <w:rPr>
                <w:rFonts w:hint="eastAsia"/>
                <w:color w:val="auto"/>
                <w:lang w:val="en-US" w:eastAsia="zh-CN"/>
              </w:rPr>
              <w:t>有害因素辨识</w:t>
            </w:r>
          </w:p>
        </w:tc>
        <w:tc>
          <w:tcPr>
            <w:tcW w:w="5920" w:type="dxa"/>
            <w:tcBorders>
              <w:tl2br w:val="nil"/>
              <w:tr2bl w:val="nil"/>
            </w:tcBorders>
            <w:noWrap w:val="0"/>
            <w:tcMar>
              <w:top w:w="15" w:type="dxa"/>
              <w:left w:w="15" w:type="dxa"/>
              <w:right w:w="15" w:type="dxa"/>
            </w:tcMar>
            <w:vAlign w:val="center"/>
          </w:tcPr>
          <w:p w14:paraId="361672BC">
            <w:pPr>
              <w:pStyle w:val="36"/>
              <w:bidi w:val="0"/>
              <w:jc w:val="center"/>
              <w:rPr>
                <w:rFonts w:hint="default"/>
                <w:color w:val="auto"/>
                <w:lang w:val="en-US" w:eastAsia="zh-CN"/>
              </w:rPr>
            </w:pPr>
            <w:r>
              <w:rPr>
                <w:rFonts w:hint="eastAsia"/>
                <w:color w:val="auto"/>
                <w:lang w:val="en-US" w:eastAsia="zh-CN"/>
              </w:rPr>
              <w:t>火灾、物体打击、爆炸、灼烫</w:t>
            </w:r>
          </w:p>
        </w:tc>
      </w:tr>
      <w:tr w14:paraId="56D45A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4722C2F0">
            <w:pPr>
              <w:pStyle w:val="36"/>
              <w:bidi w:val="0"/>
              <w:jc w:val="center"/>
              <w:rPr>
                <w:rFonts w:hint="default"/>
                <w:color w:val="auto"/>
                <w:lang w:val="en-US" w:eastAsia="zh-CN"/>
              </w:rPr>
            </w:pPr>
            <w:r>
              <w:rPr>
                <w:rFonts w:hint="eastAsia"/>
                <w:color w:val="auto"/>
                <w:lang w:val="en-US" w:eastAsia="zh-CN"/>
              </w:rPr>
              <w:t>3</w:t>
            </w:r>
          </w:p>
        </w:tc>
        <w:tc>
          <w:tcPr>
            <w:tcW w:w="2395" w:type="dxa"/>
            <w:tcBorders>
              <w:tl2br w:val="nil"/>
              <w:tr2bl w:val="nil"/>
            </w:tcBorders>
            <w:noWrap w:val="0"/>
            <w:tcMar>
              <w:top w:w="15" w:type="dxa"/>
              <w:left w:w="15" w:type="dxa"/>
              <w:right w:w="15" w:type="dxa"/>
            </w:tcMar>
            <w:vAlign w:val="center"/>
          </w:tcPr>
          <w:p w14:paraId="20444462">
            <w:pPr>
              <w:pStyle w:val="36"/>
              <w:bidi w:val="0"/>
              <w:jc w:val="center"/>
              <w:rPr>
                <w:rFonts w:hint="eastAsia"/>
                <w:color w:val="auto"/>
                <w:lang w:val="en-US" w:eastAsia="zh-CN"/>
              </w:rPr>
            </w:pPr>
            <w:r>
              <w:rPr>
                <w:rFonts w:hint="eastAsia"/>
                <w:color w:val="auto"/>
                <w:lang w:val="en-US" w:eastAsia="zh-CN"/>
              </w:rPr>
              <w:t>作业过程危险</w:t>
            </w:r>
          </w:p>
          <w:p w14:paraId="78A21D26">
            <w:pPr>
              <w:pStyle w:val="36"/>
              <w:bidi w:val="0"/>
              <w:jc w:val="center"/>
              <w:rPr>
                <w:rFonts w:hint="default"/>
                <w:color w:val="auto"/>
                <w:lang w:val="en-US" w:eastAsia="zh-CN"/>
              </w:rPr>
            </w:pPr>
            <w:r>
              <w:rPr>
                <w:rFonts w:hint="eastAsia"/>
                <w:color w:val="auto"/>
                <w:lang w:val="en-US" w:eastAsia="zh-CN"/>
              </w:rPr>
              <w:t>有害因素辨识</w:t>
            </w:r>
          </w:p>
        </w:tc>
        <w:tc>
          <w:tcPr>
            <w:tcW w:w="5920" w:type="dxa"/>
            <w:tcBorders>
              <w:tl2br w:val="nil"/>
              <w:tr2bl w:val="nil"/>
            </w:tcBorders>
            <w:noWrap w:val="0"/>
            <w:tcMar>
              <w:top w:w="15" w:type="dxa"/>
              <w:left w:w="15" w:type="dxa"/>
              <w:right w:w="15" w:type="dxa"/>
            </w:tcMar>
            <w:vAlign w:val="center"/>
          </w:tcPr>
          <w:p w14:paraId="1C5F02A0">
            <w:pPr>
              <w:pStyle w:val="36"/>
              <w:bidi w:val="0"/>
              <w:jc w:val="center"/>
              <w:rPr>
                <w:rFonts w:hint="default"/>
                <w:color w:val="auto"/>
                <w:lang w:val="en-US" w:eastAsia="zh-CN"/>
              </w:rPr>
            </w:pPr>
            <w:r>
              <w:rPr>
                <w:rFonts w:hint="eastAsia"/>
                <w:color w:val="auto"/>
              </w:rPr>
              <w:t>火灾、爆炸</w:t>
            </w:r>
            <w:r>
              <w:rPr>
                <w:rFonts w:hint="eastAsia"/>
                <w:color w:val="auto"/>
                <w:lang w:eastAsia="zh-CN"/>
              </w:rPr>
              <w:t>、中毒和窒息、灼烫、触电、机械伤害、高处坠落、物体打击、车辆伤害、起重伤害、淹溺、其他伤害（踩踏事故）</w:t>
            </w:r>
          </w:p>
        </w:tc>
      </w:tr>
      <w:tr w14:paraId="67AF83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250B7E60">
            <w:pPr>
              <w:pStyle w:val="36"/>
              <w:bidi w:val="0"/>
              <w:jc w:val="center"/>
              <w:rPr>
                <w:rFonts w:hint="default"/>
                <w:color w:val="auto"/>
                <w:lang w:val="en-US" w:eastAsia="zh-CN"/>
              </w:rPr>
            </w:pPr>
            <w:r>
              <w:rPr>
                <w:rFonts w:hint="eastAsia"/>
                <w:color w:val="auto"/>
                <w:lang w:val="en-US" w:eastAsia="zh-CN"/>
              </w:rPr>
              <w:t>4</w:t>
            </w:r>
          </w:p>
        </w:tc>
        <w:tc>
          <w:tcPr>
            <w:tcW w:w="2395" w:type="dxa"/>
            <w:tcBorders>
              <w:tl2br w:val="nil"/>
              <w:tr2bl w:val="nil"/>
            </w:tcBorders>
            <w:noWrap w:val="0"/>
            <w:tcMar>
              <w:top w:w="15" w:type="dxa"/>
              <w:left w:w="15" w:type="dxa"/>
              <w:right w:w="15" w:type="dxa"/>
            </w:tcMar>
            <w:vAlign w:val="center"/>
          </w:tcPr>
          <w:p w14:paraId="58B28A1B">
            <w:pPr>
              <w:pStyle w:val="36"/>
              <w:bidi w:val="0"/>
              <w:jc w:val="center"/>
              <w:rPr>
                <w:rFonts w:hint="eastAsia"/>
                <w:color w:val="auto"/>
                <w:lang w:val="en-US" w:eastAsia="zh-CN"/>
              </w:rPr>
            </w:pPr>
            <w:r>
              <w:rPr>
                <w:rFonts w:hint="eastAsia"/>
                <w:color w:val="auto"/>
                <w:lang w:val="en-US" w:eastAsia="zh-CN"/>
              </w:rPr>
              <w:t>设备设施危险</w:t>
            </w:r>
          </w:p>
          <w:p w14:paraId="187C29EC">
            <w:pPr>
              <w:pStyle w:val="36"/>
              <w:bidi w:val="0"/>
              <w:jc w:val="center"/>
              <w:rPr>
                <w:rFonts w:hint="default"/>
                <w:color w:val="auto"/>
                <w:lang w:val="en-US" w:eastAsia="zh-CN"/>
              </w:rPr>
            </w:pPr>
            <w:r>
              <w:rPr>
                <w:rFonts w:hint="eastAsia"/>
                <w:color w:val="auto"/>
                <w:lang w:val="en-US" w:eastAsia="zh-CN"/>
              </w:rPr>
              <w:t>有害因素辨识</w:t>
            </w:r>
          </w:p>
        </w:tc>
        <w:tc>
          <w:tcPr>
            <w:tcW w:w="5920" w:type="dxa"/>
            <w:tcBorders>
              <w:tl2br w:val="nil"/>
              <w:tr2bl w:val="nil"/>
            </w:tcBorders>
            <w:noWrap w:val="0"/>
            <w:tcMar>
              <w:top w:w="15" w:type="dxa"/>
              <w:left w:w="15" w:type="dxa"/>
              <w:right w:w="15" w:type="dxa"/>
            </w:tcMar>
            <w:vAlign w:val="center"/>
          </w:tcPr>
          <w:p w14:paraId="39ADA8F2">
            <w:pPr>
              <w:pStyle w:val="36"/>
              <w:bidi w:val="0"/>
              <w:jc w:val="center"/>
              <w:rPr>
                <w:rFonts w:hint="default"/>
                <w:color w:val="auto"/>
                <w:lang w:val="en-US" w:eastAsia="zh-CN"/>
              </w:rPr>
            </w:pPr>
            <w:r>
              <w:rPr>
                <w:rFonts w:hint="eastAsia" w:cs="Times New Roman"/>
                <w:i w:val="0"/>
                <w:color w:val="auto"/>
                <w:kern w:val="0"/>
                <w:sz w:val="24"/>
                <w:szCs w:val="24"/>
                <w:highlight w:val="none"/>
                <w:u w:val="none"/>
                <w:lang w:val="en-US" w:eastAsia="zh-CN" w:bidi="ar"/>
              </w:rPr>
              <w:t>火灾、爆炸、中毒和窒息、灼烫、触电、起重伤害</w:t>
            </w:r>
          </w:p>
        </w:tc>
      </w:tr>
    </w:tbl>
    <w:p w14:paraId="2DBBCCD9">
      <w:pPr>
        <w:pStyle w:val="3"/>
        <w:bidi w:val="0"/>
        <w:rPr>
          <w:rFonts w:hint="default"/>
          <w:color w:val="auto"/>
          <w:lang w:val="en-US" w:eastAsia="zh-CN"/>
        </w:rPr>
      </w:pPr>
      <w:bookmarkStart w:id="24" w:name="_Toc13937"/>
      <w:r>
        <w:rPr>
          <w:rFonts w:hint="default"/>
          <w:color w:val="auto"/>
          <w:lang w:val="en-US" w:eastAsia="zh-CN"/>
        </w:rPr>
        <w:t>事故风险分析</w:t>
      </w:r>
      <w:bookmarkEnd w:id="24"/>
    </w:p>
    <w:p w14:paraId="299FB211">
      <w:pPr>
        <w:pStyle w:val="4"/>
        <w:bidi w:val="0"/>
        <w:rPr>
          <w:rFonts w:hint="default"/>
          <w:color w:val="auto"/>
          <w:lang w:val="en-US" w:eastAsia="zh-CN"/>
        </w:rPr>
      </w:pPr>
      <w:bookmarkStart w:id="25" w:name="_Toc17524"/>
      <w:bookmarkStart w:id="26" w:name="_Toc25851"/>
      <w:r>
        <w:rPr>
          <w:rFonts w:hint="default"/>
          <w:color w:val="auto"/>
          <w:lang w:val="en-US" w:eastAsia="zh-CN"/>
        </w:rPr>
        <w:t>事故类型辨识分析依据</w:t>
      </w:r>
      <w:bookmarkEnd w:id="25"/>
      <w:bookmarkEnd w:id="26"/>
    </w:p>
    <w:p w14:paraId="5AF66404">
      <w:pPr>
        <w:bidi w:val="0"/>
        <w:rPr>
          <w:rFonts w:hint="default"/>
          <w:color w:val="auto"/>
        </w:rPr>
      </w:pPr>
      <w:r>
        <w:rPr>
          <w:rFonts w:hint="default"/>
          <w:color w:val="auto"/>
        </w:rPr>
        <w:t>危险有害因素辨识的依据为：根据《企业职工伤亡事故分类》</w:t>
      </w:r>
      <w:r>
        <w:rPr>
          <w:rFonts w:hint="eastAsia"/>
          <w:color w:val="auto"/>
          <w:lang w:eastAsia="zh-CN"/>
        </w:rPr>
        <w:t>（</w:t>
      </w:r>
      <w:r>
        <w:rPr>
          <w:rFonts w:hint="default"/>
          <w:color w:val="auto"/>
        </w:rPr>
        <w:t>GB6441-1986</w:t>
      </w:r>
      <w:r>
        <w:rPr>
          <w:rFonts w:hint="eastAsia"/>
          <w:color w:val="auto"/>
          <w:lang w:eastAsia="zh-CN"/>
        </w:rPr>
        <w:t>）</w:t>
      </w:r>
      <w:r>
        <w:rPr>
          <w:rFonts w:hint="default"/>
          <w:color w:val="auto"/>
        </w:rPr>
        <w:t>将危险有害因素分为20类，主要为物体打击、车辆伤害、机械伤害、起重伤害、触电、淹溺、灼烫、火灾、高处坠落、坍塌、冒顶片帮、透水、放炮、火药爆炸、瓦斯爆炸、锅炉爆炸、容器爆炸、其他爆炸、中毒和窒息、其他伤害。</w:t>
      </w:r>
    </w:p>
    <w:p w14:paraId="10853D20">
      <w:pPr>
        <w:bidi w:val="0"/>
        <w:rPr>
          <w:rFonts w:hint="default"/>
          <w:color w:val="auto"/>
          <w:lang w:val="en-US" w:eastAsia="zh-CN"/>
        </w:rPr>
      </w:pPr>
      <w:r>
        <w:rPr>
          <w:rFonts w:hint="default"/>
          <w:color w:val="auto"/>
        </w:rPr>
        <w:t>按照上述危险有害因素类别划分，再依据《危险化学品名录</w:t>
      </w:r>
      <w:r>
        <w:rPr>
          <w:rFonts w:hint="eastAsia"/>
          <w:color w:val="auto"/>
          <w:lang w:eastAsia="zh-CN"/>
        </w:rPr>
        <w:t>》《</w:t>
      </w:r>
      <w:r>
        <w:rPr>
          <w:rFonts w:hint="default"/>
          <w:color w:val="auto"/>
        </w:rPr>
        <w:t>危险化学品安全管理条例</w:t>
      </w:r>
      <w:r>
        <w:rPr>
          <w:rFonts w:hint="eastAsia"/>
          <w:color w:val="auto"/>
          <w:lang w:eastAsia="zh-CN"/>
        </w:rPr>
        <w:t>》《</w:t>
      </w:r>
      <w:r>
        <w:rPr>
          <w:rFonts w:hint="default"/>
          <w:color w:val="auto"/>
        </w:rPr>
        <w:t>危险化学品重大危险源辨识</w:t>
      </w:r>
      <w:r>
        <w:rPr>
          <w:rFonts w:hint="eastAsia"/>
          <w:color w:val="auto"/>
          <w:lang w:eastAsia="zh-CN"/>
        </w:rPr>
        <w:t>》《</w:t>
      </w:r>
      <w:r>
        <w:rPr>
          <w:rFonts w:hint="default"/>
          <w:color w:val="auto"/>
        </w:rPr>
        <w:t>职业性接触毒物危害程度分级》等国家有关法规、标准、规章、规范，对本</w:t>
      </w:r>
      <w:r>
        <w:rPr>
          <w:rFonts w:hint="default"/>
          <w:color w:val="auto"/>
          <w:lang w:val="en-US" w:eastAsia="zh-CN"/>
        </w:rPr>
        <w:t>公司</w:t>
      </w:r>
      <w:r>
        <w:rPr>
          <w:rFonts w:hint="default"/>
          <w:color w:val="auto"/>
        </w:rPr>
        <w:t>可能存在的危险有害因素进行辨识与分析</w:t>
      </w:r>
      <w:r>
        <w:rPr>
          <w:rFonts w:hint="default"/>
          <w:color w:val="auto"/>
          <w:lang w:eastAsia="zh-CN"/>
        </w:rPr>
        <w:t>、</w:t>
      </w:r>
      <w:r>
        <w:rPr>
          <w:rFonts w:hint="default"/>
          <w:color w:val="auto"/>
          <w:lang w:val="en-US" w:eastAsia="zh-CN"/>
        </w:rPr>
        <w:t>将可能发生的事故类型进行分析和汇总。</w:t>
      </w:r>
    </w:p>
    <w:p w14:paraId="5406F888">
      <w:pPr>
        <w:pStyle w:val="4"/>
        <w:bidi w:val="0"/>
        <w:rPr>
          <w:rFonts w:hint="eastAsia" w:ascii="宋体" w:hAnsi="宋体" w:eastAsia="宋体" w:cs="宋体"/>
          <w:b/>
          <w:bCs/>
          <w:sz w:val="28"/>
          <w:szCs w:val="28"/>
        </w:rPr>
      </w:pPr>
      <w:bookmarkStart w:id="27" w:name="_Toc8213"/>
      <w:bookmarkStart w:id="28" w:name="_Toc20166"/>
      <w:r>
        <w:rPr>
          <w:rFonts w:hint="default"/>
          <w:color w:val="auto"/>
          <w:lang w:val="en-US" w:eastAsia="zh-CN"/>
        </w:rPr>
        <w:t>事故</w:t>
      </w:r>
      <w:bookmarkEnd w:id="27"/>
      <w:r>
        <w:rPr>
          <w:rFonts w:hint="eastAsia"/>
          <w:color w:val="auto"/>
          <w:lang w:val="en-US" w:eastAsia="zh-CN"/>
        </w:rPr>
        <w:t>类型、危害后果和影响范围</w:t>
      </w:r>
      <w:bookmarkEnd w:id="28"/>
    </w:p>
    <w:p w14:paraId="4F6C7B18">
      <w:pPr>
        <w:ind w:firstLine="0" w:firstLineChars="0"/>
        <w:jc w:val="center"/>
        <w:outlineLvl w:val="4"/>
        <w:rPr>
          <w:rFonts w:hint="eastAsia" w:ascii="宋体" w:hAnsi="宋体" w:eastAsia="宋体" w:cs="宋体"/>
          <w:b/>
          <w:bCs/>
          <w:sz w:val="28"/>
          <w:szCs w:val="28"/>
        </w:rPr>
      </w:pPr>
    </w:p>
    <w:p w14:paraId="3248BF8B">
      <w:pPr>
        <w:ind w:firstLine="0" w:firstLineChars="0"/>
        <w:jc w:val="center"/>
        <w:outlineLvl w:val="4"/>
        <w:rPr>
          <w:rFonts w:ascii="宋体" w:hAnsi="宋体" w:eastAsia="宋体" w:cs="宋体"/>
          <w:b/>
          <w:bCs/>
          <w:sz w:val="28"/>
          <w:szCs w:val="28"/>
        </w:rPr>
      </w:pPr>
      <w:r>
        <w:rPr>
          <w:rFonts w:hint="eastAsia" w:ascii="宋体" w:hAnsi="宋体" w:eastAsia="宋体" w:cs="宋体"/>
          <w:b/>
          <w:bCs/>
          <w:sz w:val="28"/>
          <w:szCs w:val="28"/>
        </w:rPr>
        <w:t>事故发生的</w:t>
      </w:r>
      <w:r>
        <w:rPr>
          <w:rFonts w:hint="eastAsia" w:ascii="宋体" w:hAnsi="宋体" w:eastAsia="宋体" w:cs="宋体"/>
          <w:b/>
          <w:bCs/>
          <w:sz w:val="28"/>
          <w:szCs w:val="28"/>
          <w:lang w:eastAsia="zh-CN"/>
        </w:rPr>
        <w:t>类型</w:t>
      </w:r>
      <w:r>
        <w:rPr>
          <w:rFonts w:hint="eastAsia" w:ascii="宋体" w:hAnsi="宋体" w:eastAsia="宋体" w:cs="宋体"/>
          <w:b/>
          <w:bCs/>
          <w:sz w:val="28"/>
          <w:szCs w:val="28"/>
        </w:rPr>
        <w:t>、危害后果和影响范围</w:t>
      </w:r>
    </w:p>
    <w:tbl>
      <w:tblPr>
        <w:tblStyle w:val="26"/>
        <w:tblW w:w="8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
        <w:gridCol w:w="1627"/>
        <w:gridCol w:w="3057"/>
        <w:gridCol w:w="2026"/>
        <w:gridCol w:w="1504"/>
      </w:tblGrid>
      <w:tr w14:paraId="01DB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atLeast"/>
          <w:jc w:val="center"/>
        </w:trPr>
        <w:tc>
          <w:tcPr>
            <w:tcW w:w="523" w:type="dxa"/>
            <w:vAlign w:val="center"/>
          </w:tcPr>
          <w:p w14:paraId="652840EC">
            <w:pPr>
              <w:spacing w:before="100" w:beforeAutospacing="1" w:after="100" w:afterAutospacing="1"/>
              <w:ind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序号</w:t>
            </w:r>
          </w:p>
        </w:tc>
        <w:tc>
          <w:tcPr>
            <w:tcW w:w="1627" w:type="dxa"/>
            <w:vAlign w:val="center"/>
          </w:tcPr>
          <w:p w14:paraId="39DFD69F">
            <w:pPr>
              <w:spacing w:before="100" w:beforeAutospacing="1" w:after="100" w:afterAutospacing="1"/>
              <w:ind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事故种类</w:t>
            </w:r>
          </w:p>
        </w:tc>
        <w:tc>
          <w:tcPr>
            <w:tcW w:w="3057" w:type="dxa"/>
            <w:vAlign w:val="center"/>
          </w:tcPr>
          <w:p w14:paraId="47AAD738">
            <w:pPr>
              <w:spacing w:before="100" w:beforeAutospacing="1" w:after="100" w:afterAutospacing="1"/>
              <w:ind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危险有害因素分布</w:t>
            </w:r>
          </w:p>
        </w:tc>
        <w:tc>
          <w:tcPr>
            <w:tcW w:w="2026" w:type="dxa"/>
            <w:vAlign w:val="center"/>
          </w:tcPr>
          <w:p w14:paraId="72513835">
            <w:pPr>
              <w:spacing w:before="100" w:beforeAutospacing="1" w:after="100" w:afterAutospacing="1"/>
              <w:ind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危害后果</w:t>
            </w:r>
          </w:p>
        </w:tc>
        <w:tc>
          <w:tcPr>
            <w:tcW w:w="1504" w:type="dxa"/>
            <w:vAlign w:val="center"/>
          </w:tcPr>
          <w:p w14:paraId="1C71529F">
            <w:pPr>
              <w:spacing w:before="100" w:beforeAutospacing="1" w:after="100" w:afterAutospacing="1"/>
              <w:ind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影响范围</w:t>
            </w:r>
          </w:p>
        </w:tc>
      </w:tr>
      <w:tr w14:paraId="4178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7BDEF925">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1</w:t>
            </w:r>
          </w:p>
        </w:tc>
        <w:tc>
          <w:tcPr>
            <w:tcW w:w="1627" w:type="dxa"/>
            <w:vAlign w:val="center"/>
          </w:tcPr>
          <w:p w14:paraId="7D51389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触电</w:t>
            </w:r>
          </w:p>
        </w:tc>
        <w:tc>
          <w:tcPr>
            <w:tcW w:w="3057" w:type="dxa"/>
            <w:vAlign w:val="center"/>
          </w:tcPr>
          <w:p w14:paraId="33D6B01A">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电气设备、</w:t>
            </w:r>
            <w:r>
              <w:rPr>
                <w:rFonts w:hint="eastAsia" w:ascii="宋体" w:hAnsi="宋体" w:eastAsia="宋体" w:cs="宋体"/>
                <w:sz w:val="24"/>
                <w:szCs w:val="24"/>
              </w:rPr>
              <w:t>带电类场所</w:t>
            </w:r>
            <w:r>
              <w:rPr>
                <w:rFonts w:hint="eastAsia" w:ascii="宋体" w:hAnsi="宋体" w:eastAsia="宋体" w:cs="宋体"/>
                <w:sz w:val="24"/>
                <w:szCs w:val="24"/>
                <w:lang w:eastAsia="zh-CN"/>
              </w:rPr>
              <w:t>等</w:t>
            </w:r>
          </w:p>
        </w:tc>
        <w:tc>
          <w:tcPr>
            <w:tcW w:w="2026" w:type="dxa"/>
            <w:vAlign w:val="center"/>
          </w:tcPr>
          <w:p w14:paraId="4F56B196">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4B23C11B">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4F9847F1">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750A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27A2C34D">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2</w:t>
            </w:r>
          </w:p>
        </w:tc>
        <w:tc>
          <w:tcPr>
            <w:tcW w:w="1627" w:type="dxa"/>
            <w:vAlign w:val="center"/>
          </w:tcPr>
          <w:p w14:paraId="4A5D7D3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高处坠落</w:t>
            </w:r>
          </w:p>
        </w:tc>
        <w:tc>
          <w:tcPr>
            <w:tcW w:w="3057" w:type="dxa"/>
            <w:vAlign w:val="center"/>
          </w:tcPr>
          <w:p w14:paraId="2F04DFBE">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冷却塔、高处检维修</w:t>
            </w:r>
            <w:r>
              <w:rPr>
                <w:rFonts w:hint="eastAsia" w:ascii="宋体" w:hAnsi="宋体" w:eastAsia="宋体" w:cs="宋体"/>
                <w:sz w:val="24"/>
                <w:szCs w:val="24"/>
              </w:rPr>
              <w:t>等</w:t>
            </w:r>
          </w:p>
        </w:tc>
        <w:tc>
          <w:tcPr>
            <w:tcW w:w="2026" w:type="dxa"/>
            <w:vAlign w:val="center"/>
          </w:tcPr>
          <w:p w14:paraId="58CFDB0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34C09D0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6C13ADC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1BC9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 w:hRule="atLeast"/>
          <w:jc w:val="center"/>
        </w:trPr>
        <w:tc>
          <w:tcPr>
            <w:tcW w:w="523" w:type="dxa"/>
            <w:vAlign w:val="center"/>
          </w:tcPr>
          <w:p w14:paraId="0CB67578">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3</w:t>
            </w:r>
          </w:p>
        </w:tc>
        <w:tc>
          <w:tcPr>
            <w:tcW w:w="1627" w:type="dxa"/>
            <w:vAlign w:val="center"/>
          </w:tcPr>
          <w:p w14:paraId="42370202">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火灾</w:t>
            </w:r>
          </w:p>
        </w:tc>
        <w:tc>
          <w:tcPr>
            <w:tcW w:w="3057" w:type="dxa"/>
            <w:vAlign w:val="center"/>
          </w:tcPr>
          <w:p w14:paraId="27C3B197">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办公室、厨房、</w:t>
            </w:r>
            <w:r>
              <w:rPr>
                <w:rFonts w:hint="eastAsia" w:ascii="宋体" w:hAnsi="宋体" w:eastAsia="宋体" w:cs="宋体"/>
                <w:sz w:val="24"/>
                <w:szCs w:val="24"/>
                <w:lang w:eastAsia="zh-CN"/>
              </w:rPr>
              <w:t>天然气管道、</w:t>
            </w:r>
            <w:r>
              <w:rPr>
                <w:rFonts w:hint="eastAsia" w:ascii="宋体" w:hAnsi="宋体" w:eastAsia="宋体" w:cs="宋体"/>
                <w:sz w:val="24"/>
                <w:szCs w:val="24"/>
              </w:rPr>
              <w:t>客房</w:t>
            </w:r>
            <w:r>
              <w:rPr>
                <w:rFonts w:hint="eastAsia" w:ascii="宋体" w:hAnsi="宋体" w:eastAsia="宋体" w:cs="宋体"/>
                <w:sz w:val="24"/>
                <w:szCs w:val="24"/>
                <w:lang w:eastAsia="zh-CN"/>
              </w:rPr>
              <w:t>、锅炉房、发电机房、带电类场所、</w:t>
            </w:r>
            <w:r>
              <w:rPr>
                <w:rFonts w:hint="eastAsia" w:ascii="宋体" w:hAnsi="宋体" w:eastAsia="宋体" w:cs="宋体"/>
                <w:sz w:val="24"/>
                <w:szCs w:val="24"/>
              </w:rPr>
              <w:t>布草间</w:t>
            </w:r>
            <w:r>
              <w:rPr>
                <w:rFonts w:hint="eastAsia" w:ascii="宋体" w:hAnsi="宋体" w:eastAsia="宋体" w:cs="宋体"/>
                <w:sz w:val="24"/>
                <w:szCs w:val="24"/>
                <w:lang w:eastAsia="zh-CN"/>
              </w:rPr>
              <w:t>、隔油池、化粪池</w:t>
            </w:r>
            <w:r>
              <w:rPr>
                <w:rFonts w:hint="eastAsia" w:ascii="宋体" w:hAnsi="宋体" w:eastAsia="宋体" w:cs="宋体"/>
                <w:sz w:val="24"/>
                <w:szCs w:val="24"/>
              </w:rPr>
              <w:t>等</w:t>
            </w:r>
          </w:p>
        </w:tc>
        <w:tc>
          <w:tcPr>
            <w:tcW w:w="2026" w:type="dxa"/>
            <w:vAlign w:val="center"/>
          </w:tcPr>
          <w:p w14:paraId="3B4C641A">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7A495EB6">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7168176E">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p w14:paraId="53C658B8">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周边区域</w:t>
            </w:r>
          </w:p>
        </w:tc>
      </w:tr>
      <w:tr w14:paraId="7873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6B62CB8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4</w:t>
            </w:r>
          </w:p>
        </w:tc>
        <w:tc>
          <w:tcPr>
            <w:tcW w:w="1627" w:type="dxa"/>
            <w:vAlign w:val="center"/>
          </w:tcPr>
          <w:p w14:paraId="7275DA6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机械伤害</w:t>
            </w:r>
          </w:p>
        </w:tc>
        <w:tc>
          <w:tcPr>
            <w:tcW w:w="3057" w:type="dxa"/>
            <w:vAlign w:val="center"/>
          </w:tcPr>
          <w:p w14:paraId="002586DC">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检修作业过程中、</w:t>
            </w:r>
            <w:r>
              <w:rPr>
                <w:rFonts w:hint="eastAsia" w:ascii="宋体" w:hAnsi="宋体" w:eastAsia="宋体" w:cs="宋体"/>
                <w:sz w:val="24"/>
                <w:szCs w:val="24"/>
              </w:rPr>
              <w:t>厨房</w:t>
            </w:r>
            <w:r>
              <w:rPr>
                <w:rFonts w:hint="eastAsia" w:ascii="宋体" w:hAnsi="宋体" w:eastAsia="宋体" w:cs="宋体"/>
                <w:sz w:val="24"/>
                <w:szCs w:val="24"/>
                <w:lang w:eastAsia="zh-CN"/>
              </w:rPr>
              <w:t>等</w:t>
            </w:r>
          </w:p>
        </w:tc>
        <w:tc>
          <w:tcPr>
            <w:tcW w:w="2026" w:type="dxa"/>
            <w:vAlign w:val="center"/>
          </w:tcPr>
          <w:p w14:paraId="08597B77">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3E8A5A2D">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613E412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63BB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189F033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5</w:t>
            </w:r>
          </w:p>
        </w:tc>
        <w:tc>
          <w:tcPr>
            <w:tcW w:w="1627" w:type="dxa"/>
            <w:vAlign w:val="center"/>
          </w:tcPr>
          <w:p w14:paraId="23D1455A">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物体打击</w:t>
            </w:r>
          </w:p>
        </w:tc>
        <w:tc>
          <w:tcPr>
            <w:tcW w:w="3057" w:type="dxa"/>
            <w:vAlign w:val="center"/>
          </w:tcPr>
          <w:p w14:paraId="331CB8BA">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检修作业过程中、健身房等</w:t>
            </w:r>
          </w:p>
        </w:tc>
        <w:tc>
          <w:tcPr>
            <w:tcW w:w="2026" w:type="dxa"/>
            <w:vAlign w:val="center"/>
          </w:tcPr>
          <w:p w14:paraId="722B3793">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737833EF">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7BF55B58">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30E0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3E80DB6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6</w:t>
            </w:r>
          </w:p>
        </w:tc>
        <w:tc>
          <w:tcPr>
            <w:tcW w:w="1627" w:type="dxa"/>
            <w:vAlign w:val="center"/>
          </w:tcPr>
          <w:p w14:paraId="7F119532">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灼烫</w:t>
            </w:r>
          </w:p>
        </w:tc>
        <w:tc>
          <w:tcPr>
            <w:tcW w:w="3057" w:type="dxa"/>
            <w:vAlign w:val="center"/>
          </w:tcPr>
          <w:p w14:paraId="3A9ABB0A">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锅炉房、</w:t>
            </w:r>
            <w:r>
              <w:rPr>
                <w:rFonts w:hint="eastAsia" w:ascii="宋体" w:hAnsi="宋体" w:eastAsia="宋体" w:cs="宋体"/>
                <w:sz w:val="24"/>
                <w:szCs w:val="24"/>
              </w:rPr>
              <w:t>厨房</w:t>
            </w:r>
            <w:r>
              <w:rPr>
                <w:rFonts w:hint="eastAsia" w:ascii="宋体" w:hAnsi="宋体" w:eastAsia="宋体" w:cs="宋体"/>
                <w:sz w:val="24"/>
                <w:szCs w:val="24"/>
                <w:lang w:eastAsia="zh-CN"/>
              </w:rPr>
              <w:t>、客房及就餐区域等</w:t>
            </w:r>
          </w:p>
        </w:tc>
        <w:tc>
          <w:tcPr>
            <w:tcW w:w="2026" w:type="dxa"/>
            <w:vAlign w:val="center"/>
          </w:tcPr>
          <w:p w14:paraId="0EE19CE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180D3F97">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04881DCC">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1DC4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523" w:type="dxa"/>
            <w:vAlign w:val="center"/>
          </w:tcPr>
          <w:p w14:paraId="727DD1DA">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7</w:t>
            </w:r>
          </w:p>
        </w:tc>
        <w:tc>
          <w:tcPr>
            <w:tcW w:w="1627" w:type="dxa"/>
            <w:vAlign w:val="center"/>
          </w:tcPr>
          <w:p w14:paraId="698C460D">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爆炸</w:t>
            </w:r>
          </w:p>
        </w:tc>
        <w:tc>
          <w:tcPr>
            <w:tcW w:w="3057" w:type="dxa"/>
            <w:vAlign w:val="center"/>
          </w:tcPr>
          <w:p w14:paraId="1C79F869">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锅炉房、</w:t>
            </w:r>
            <w:r>
              <w:rPr>
                <w:rFonts w:hint="eastAsia" w:ascii="宋体" w:hAnsi="宋体" w:eastAsia="宋体" w:cs="宋体"/>
                <w:sz w:val="24"/>
                <w:szCs w:val="24"/>
              </w:rPr>
              <w:t>厨房</w:t>
            </w:r>
            <w:r>
              <w:rPr>
                <w:rFonts w:hint="eastAsia" w:ascii="宋体" w:hAnsi="宋体" w:eastAsia="宋体" w:cs="宋体"/>
                <w:sz w:val="24"/>
                <w:szCs w:val="24"/>
                <w:lang w:eastAsia="zh-CN"/>
              </w:rPr>
              <w:t>、天然气管道、发电机房、隔油池、化粪池等</w:t>
            </w:r>
          </w:p>
        </w:tc>
        <w:tc>
          <w:tcPr>
            <w:tcW w:w="2026" w:type="dxa"/>
            <w:vAlign w:val="center"/>
          </w:tcPr>
          <w:p w14:paraId="677844A8">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58A92912">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1201F604">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p w14:paraId="59939C7B">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周边区域</w:t>
            </w:r>
          </w:p>
        </w:tc>
      </w:tr>
      <w:tr w14:paraId="105E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66FDB7D6">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8</w:t>
            </w:r>
          </w:p>
        </w:tc>
        <w:tc>
          <w:tcPr>
            <w:tcW w:w="1627" w:type="dxa"/>
            <w:vAlign w:val="center"/>
          </w:tcPr>
          <w:p w14:paraId="2188FEA7">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其他伤害</w:t>
            </w:r>
          </w:p>
          <w:p w14:paraId="4C449E0C">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人员踩踏</w:t>
            </w:r>
            <w:r>
              <w:rPr>
                <w:rFonts w:hint="eastAsia" w:ascii="宋体" w:hAnsi="宋体" w:eastAsia="宋体" w:cs="宋体"/>
                <w:sz w:val="24"/>
                <w:szCs w:val="24"/>
                <w:lang w:eastAsia="zh-CN"/>
              </w:rPr>
              <w:t>）</w:t>
            </w:r>
          </w:p>
        </w:tc>
        <w:tc>
          <w:tcPr>
            <w:tcW w:w="3057" w:type="dxa"/>
            <w:vAlign w:val="center"/>
          </w:tcPr>
          <w:p w14:paraId="3A6A6AD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疏散通道、公共区域等</w:t>
            </w:r>
          </w:p>
        </w:tc>
        <w:tc>
          <w:tcPr>
            <w:tcW w:w="2026" w:type="dxa"/>
            <w:vAlign w:val="center"/>
          </w:tcPr>
          <w:p w14:paraId="241626BD">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7994462E">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58DB8B5F">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04B5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33827F59">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9</w:t>
            </w:r>
          </w:p>
        </w:tc>
        <w:tc>
          <w:tcPr>
            <w:tcW w:w="1627" w:type="dxa"/>
            <w:vAlign w:val="center"/>
          </w:tcPr>
          <w:p w14:paraId="08061904">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起重伤害</w:t>
            </w:r>
          </w:p>
        </w:tc>
        <w:tc>
          <w:tcPr>
            <w:tcW w:w="3057" w:type="dxa"/>
            <w:vAlign w:val="center"/>
          </w:tcPr>
          <w:p w14:paraId="2D58AA96">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rPr>
              <w:t>电梯</w:t>
            </w:r>
            <w:r>
              <w:rPr>
                <w:rFonts w:hint="eastAsia" w:ascii="宋体" w:hAnsi="宋体" w:eastAsia="宋体" w:cs="宋体"/>
                <w:sz w:val="24"/>
                <w:szCs w:val="24"/>
                <w:lang w:eastAsia="zh-CN"/>
              </w:rPr>
              <w:t>等</w:t>
            </w:r>
          </w:p>
        </w:tc>
        <w:tc>
          <w:tcPr>
            <w:tcW w:w="2026" w:type="dxa"/>
            <w:vAlign w:val="center"/>
          </w:tcPr>
          <w:p w14:paraId="66105686">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7C18089F">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财产损失</w:t>
            </w:r>
          </w:p>
        </w:tc>
        <w:tc>
          <w:tcPr>
            <w:tcW w:w="1504" w:type="dxa"/>
            <w:vAlign w:val="center"/>
          </w:tcPr>
          <w:p w14:paraId="347A3CE6">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0203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059C637C">
            <w:pPr>
              <w:adjustRightInd w:val="0"/>
              <w:snapToGrid w:val="0"/>
              <w:ind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w:t>
            </w:r>
          </w:p>
        </w:tc>
        <w:tc>
          <w:tcPr>
            <w:tcW w:w="1627" w:type="dxa"/>
            <w:vAlign w:val="center"/>
          </w:tcPr>
          <w:p w14:paraId="1143F6B8">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中毒和</w:t>
            </w:r>
          </w:p>
          <w:p w14:paraId="7F8B2EB0">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窒息</w:t>
            </w:r>
          </w:p>
        </w:tc>
        <w:tc>
          <w:tcPr>
            <w:tcW w:w="3057" w:type="dxa"/>
            <w:vAlign w:val="center"/>
          </w:tcPr>
          <w:p w14:paraId="78335D25">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消防水箱、生活水箱、烟道、隔油池、化粪池、</w:t>
            </w:r>
            <w:r>
              <w:rPr>
                <w:rFonts w:hint="eastAsia" w:ascii="宋体" w:hAnsi="宋体" w:eastAsia="宋体" w:cs="宋体"/>
                <w:sz w:val="24"/>
                <w:szCs w:val="24"/>
                <w:lang w:val="en-US" w:eastAsia="zh-CN"/>
              </w:rPr>
              <w:t>污水井</w:t>
            </w:r>
            <w:r>
              <w:rPr>
                <w:rFonts w:hint="eastAsia" w:ascii="宋体" w:hAnsi="宋体" w:eastAsia="宋体" w:cs="宋体"/>
                <w:sz w:val="24"/>
                <w:szCs w:val="24"/>
                <w:lang w:eastAsia="zh-CN"/>
              </w:rPr>
              <w:t>等</w:t>
            </w:r>
          </w:p>
        </w:tc>
        <w:tc>
          <w:tcPr>
            <w:tcW w:w="2026" w:type="dxa"/>
            <w:vAlign w:val="center"/>
          </w:tcPr>
          <w:p w14:paraId="5028CE28">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4271F729">
            <w:pPr>
              <w:adjustRightInd w:val="0"/>
              <w:snapToGrid w:val="0"/>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rPr>
              <w:t>财产损失</w:t>
            </w:r>
          </w:p>
        </w:tc>
        <w:tc>
          <w:tcPr>
            <w:tcW w:w="1504" w:type="dxa"/>
            <w:vAlign w:val="center"/>
          </w:tcPr>
          <w:p w14:paraId="41C44DC0">
            <w:pPr>
              <w:adjustRightInd w:val="0"/>
              <w:snapToGrid w:val="0"/>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667A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23" w:type="dxa"/>
            <w:vAlign w:val="center"/>
          </w:tcPr>
          <w:p w14:paraId="66E1C418">
            <w:pPr>
              <w:adjustRightInd w:val="0"/>
              <w:snapToGrid w:val="0"/>
              <w:ind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w:t>
            </w:r>
          </w:p>
        </w:tc>
        <w:tc>
          <w:tcPr>
            <w:tcW w:w="1627" w:type="dxa"/>
            <w:vAlign w:val="center"/>
          </w:tcPr>
          <w:p w14:paraId="177446D0">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淹溺</w:t>
            </w:r>
          </w:p>
        </w:tc>
        <w:tc>
          <w:tcPr>
            <w:tcW w:w="3057" w:type="dxa"/>
            <w:vAlign w:val="center"/>
          </w:tcPr>
          <w:p w14:paraId="78B59CB6">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消防水箱、生活水箱、化粪池等</w:t>
            </w:r>
          </w:p>
        </w:tc>
        <w:tc>
          <w:tcPr>
            <w:tcW w:w="2026" w:type="dxa"/>
            <w:vAlign w:val="center"/>
          </w:tcPr>
          <w:p w14:paraId="7D357A92">
            <w:pPr>
              <w:adjustRightInd w:val="0"/>
              <w:snapToGrid w:val="0"/>
              <w:ind w:firstLine="0" w:firstLineChars="0"/>
              <w:jc w:val="center"/>
              <w:rPr>
                <w:rFonts w:hint="eastAsia" w:ascii="宋体" w:hAnsi="宋体" w:eastAsia="宋体" w:cs="宋体"/>
                <w:sz w:val="24"/>
                <w:szCs w:val="24"/>
              </w:rPr>
            </w:pPr>
            <w:r>
              <w:rPr>
                <w:rFonts w:hint="eastAsia" w:ascii="宋体" w:hAnsi="宋体" w:eastAsia="宋体" w:cs="宋体"/>
                <w:sz w:val="24"/>
                <w:szCs w:val="24"/>
              </w:rPr>
              <w:t>人员受伤、</w:t>
            </w:r>
          </w:p>
          <w:p w14:paraId="7F5BD573">
            <w:pPr>
              <w:adjustRightInd w:val="0"/>
              <w:snapToGrid w:val="0"/>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rPr>
              <w:t>财产损失</w:t>
            </w:r>
          </w:p>
        </w:tc>
        <w:tc>
          <w:tcPr>
            <w:tcW w:w="1504" w:type="dxa"/>
            <w:vAlign w:val="center"/>
          </w:tcPr>
          <w:p w14:paraId="33E2E9E3">
            <w:pPr>
              <w:adjustRightInd w:val="0"/>
              <w:snapToGrid w:val="0"/>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酒店</w:t>
            </w:r>
            <w:r>
              <w:rPr>
                <w:rFonts w:hint="eastAsia" w:ascii="宋体" w:hAnsi="宋体" w:eastAsia="宋体" w:cs="宋体"/>
                <w:sz w:val="24"/>
                <w:szCs w:val="24"/>
              </w:rPr>
              <w:t>内</w:t>
            </w:r>
          </w:p>
        </w:tc>
      </w:tr>
      <w:tr w14:paraId="2157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523" w:type="dxa"/>
            <w:vAlign w:val="center"/>
          </w:tcPr>
          <w:p w14:paraId="3333AA45">
            <w:pPr>
              <w:adjustRightInd w:val="0"/>
              <w:snapToGrid w:val="0"/>
              <w:ind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627" w:type="dxa"/>
            <w:vAlign w:val="center"/>
          </w:tcPr>
          <w:p w14:paraId="55ECD7EB">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车辆伤害</w:t>
            </w:r>
          </w:p>
        </w:tc>
        <w:tc>
          <w:tcPr>
            <w:tcW w:w="3057" w:type="dxa"/>
            <w:vAlign w:val="center"/>
          </w:tcPr>
          <w:p w14:paraId="3892E815">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酒店停车场</w:t>
            </w:r>
          </w:p>
        </w:tc>
        <w:tc>
          <w:tcPr>
            <w:tcW w:w="2026" w:type="dxa"/>
            <w:vAlign w:val="center"/>
          </w:tcPr>
          <w:p w14:paraId="10EFB0C9">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人员受伤、</w:t>
            </w:r>
          </w:p>
          <w:p w14:paraId="5EB1478D">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财产损失</w:t>
            </w:r>
          </w:p>
        </w:tc>
        <w:tc>
          <w:tcPr>
            <w:tcW w:w="1504" w:type="dxa"/>
            <w:vAlign w:val="center"/>
          </w:tcPr>
          <w:p w14:paraId="1DB86309">
            <w:pPr>
              <w:adjustRightInd w:val="0"/>
              <w:snapToGrid w:val="0"/>
              <w:ind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酒店内</w:t>
            </w:r>
          </w:p>
        </w:tc>
      </w:tr>
    </w:tbl>
    <w:p w14:paraId="2716C9A4">
      <w:pPr>
        <w:pStyle w:val="3"/>
        <w:bidi w:val="0"/>
        <w:rPr>
          <w:rFonts w:hint="default"/>
          <w:color w:val="auto"/>
          <w:lang w:val="en-US" w:eastAsia="zh-CN"/>
        </w:rPr>
      </w:pPr>
      <w:bookmarkStart w:id="29" w:name="_Toc415654801"/>
      <w:bookmarkStart w:id="30" w:name="_Toc449595522"/>
      <w:bookmarkStart w:id="31" w:name="_Toc21555"/>
      <w:bookmarkStart w:id="32" w:name="_Toc27439"/>
      <w:r>
        <w:rPr>
          <w:rFonts w:hint="default"/>
          <w:color w:val="auto"/>
        </w:rPr>
        <w:t>事故</w:t>
      </w:r>
      <w:bookmarkEnd w:id="29"/>
      <w:bookmarkEnd w:id="30"/>
      <w:r>
        <w:rPr>
          <w:rFonts w:hint="eastAsia"/>
          <w:color w:val="auto"/>
          <w:lang w:val="en-US" w:eastAsia="zh-CN"/>
        </w:rPr>
        <w:t>风险</w:t>
      </w:r>
      <w:bookmarkEnd w:id="31"/>
      <w:r>
        <w:rPr>
          <w:rFonts w:hint="eastAsia"/>
          <w:color w:val="auto"/>
          <w:lang w:val="en-US" w:eastAsia="zh-CN"/>
        </w:rPr>
        <w:t>评价</w:t>
      </w:r>
      <w:bookmarkEnd w:id="32"/>
    </w:p>
    <w:p w14:paraId="792731C2">
      <w:pPr>
        <w:pStyle w:val="4"/>
        <w:bidi w:val="0"/>
        <w:rPr>
          <w:rFonts w:hint="default"/>
          <w:color w:val="auto"/>
          <w:lang w:val="en-US" w:eastAsia="zh-CN"/>
        </w:rPr>
      </w:pPr>
      <w:bookmarkStart w:id="33" w:name="_Toc6793"/>
      <w:r>
        <w:rPr>
          <w:rFonts w:hint="eastAsia"/>
          <w:color w:val="auto"/>
          <w:lang w:val="en-US" w:eastAsia="zh-CN"/>
        </w:rPr>
        <w:t>事故风险评价方法</w:t>
      </w:r>
      <w:bookmarkEnd w:id="33"/>
    </w:p>
    <w:p w14:paraId="7A1027C8">
      <w:pPr>
        <w:bidi w:val="0"/>
        <w:rPr>
          <w:color w:val="auto"/>
        </w:rPr>
      </w:pPr>
      <w:r>
        <w:rPr>
          <w:rFonts w:hint="eastAsia"/>
          <w:color w:val="auto"/>
        </w:rPr>
        <w:t>根据上述危险有害因素分析和事故风险分析，对</w:t>
      </w:r>
      <w:r>
        <w:rPr>
          <w:rFonts w:hint="eastAsia"/>
          <w:color w:val="auto"/>
          <w:lang w:val="en-US" w:eastAsia="zh-CN"/>
        </w:rPr>
        <w:t>酒店</w:t>
      </w:r>
      <w:r>
        <w:rPr>
          <w:rFonts w:hint="eastAsia"/>
          <w:color w:val="auto"/>
        </w:rPr>
        <w:t>的事故风险进行半定量评价，采用风险矩阵法（LS）进行评价并对事故类型进行分级。风险矩阵法的评价流程如下：</w:t>
      </w:r>
    </w:p>
    <w:p w14:paraId="5CCFDA38">
      <w:pPr>
        <w:bidi w:val="0"/>
        <w:rPr>
          <w:color w:val="auto"/>
        </w:rPr>
      </w:pPr>
      <w:r>
        <w:rPr>
          <w:rFonts w:hint="eastAsia"/>
          <w:color w:val="auto"/>
        </w:rPr>
        <w:t>风险（R）=可能性（L）×后果严重性（S）</w:t>
      </w:r>
    </w:p>
    <w:p w14:paraId="7728355D">
      <w:pPr>
        <w:numPr>
          <w:ilvl w:val="0"/>
          <w:numId w:val="9"/>
        </w:numPr>
        <w:ind w:firstLine="655"/>
        <w:rPr>
          <w:color w:val="auto"/>
        </w:rPr>
      </w:pPr>
      <w:r>
        <w:rPr>
          <w:rFonts w:hint="eastAsia"/>
          <w:color w:val="auto"/>
        </w:rPr>
        <w:t>确定事故发生的可能性L：</w:t>
      </w:r>
    </w:p>
    <w:p w14:paraId="6AE80551">
      <w:pPr>
        <w:ind w:firstLine="0" w:firstLineChars="0"/>
        <w:jc w:val="center"/>
        <w:outlineLvl w:val="4"/>
        <w:rPr>
          <w:rFonts w:ascii="宋体" w:hAnsi="宋体" w:eastAsia="宋体" w:cs="宋体"/>
          <w:b/>
          <w:bCs/>
          <w:color w:val="auto"/>
          <w:sz w:val="28"/>
          <w:szCs w:val="28"/>
        </w:rPr>
      </w:pPr>
      <w:r>
        <w:rPr>
          <w:rFonts w:hint="eastAsia" w:ascii="宋体" w:hAnsi="宋体" w:eastAsia="宋体" w:cs="宋体"/>
          <w:b/>
          <w:bCs/>
          <w:color w:val="auto"/>
          <w:sz w:val="28"/>
          <w:szCs w:val="28"/>
        </w:rPr>
        <w:t>事故发生的可能性L</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7965"/>
      </w:tblGrid>
      <w:tr w14:paraId="3024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907" w:type="dxa"/>
            <w:noWrap/>
            <w:vAlign w:val="center"/>
          </w:tcPr>
          <w:p w14:paraId="2A6909F3">
            <w:pPr>
              <w:pStyle w:val="36"/>
              <w:bidi w:val="0"/>
              <w:rPr>
                <w:b/>
                <w:bCs/>
                <w:color w:val="auto"/>
              </w:rPr>
            </w:pPr>
            <w:r>
              <w:rPr>
                <w:rFonts w:hint="eastAsia"/>
                <w:b/>
                <w:bCs/>
                <w:color w:val="auto"/>
              </w:rPr>
              <w:t>等级</w:t>
            </w:r>
          </w:p>
        </w:tc>
        <w:tc>
          <w:tcPr>
            <w:tcW w:w="7965" w:type="dxa"/>
            <w:noWrap/>
            <w:vAlign w:val="center"/>
          </w:tcPr>
          <w:p w14:paraId="61687B02">
            <w:pPr>
              <w:pStyle w:val="36"/>
              <w:bidi w:val="0"/>
              <w:rPr>
                <w:b/>
                <w:bCs/>
                <w:color w:val="auto"/>
              </w:rPr>
            </w:pPr>
            <w:r>
              <w:rPr>
                <w:rFonts w:hint="eastAsia"/>
                <w:b/>
                <w:bCs/>
                <w:color w:val="auto"/>
              </w:rPr>
              <w:t>标准</w:t>
            </w:r>
          </w:p>
        </w:tc>
      </w:tr>
      <w:tr w14:paraId="3AFD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907" w:type="dxa"/>
            <w:noWrap/>
            <w:vAlign w:val="center"/>
          </w:tcPr>
          <w:p w14:paraId="7F557267">
            <w:pPr>
              <w:pStyle w:val="36"/>
              <w:bidi w:val="0"/>
              <w:rPr>
                <w:color w:val="auto"/>
              </w:rPr>
            </w:pPr>
            <w:r>
              <w:rPr>
                <w:rFonts w:hint="eastAsia"/>
                <w:color w:val="auto"/>
              </w:rPr>
              <w:t>5</w:t>
            </w:r>
          </w:p>
        </w:tc>
        <w:tc>
          <w:tcPr>
            <w:tcW w:w="7965" w:type="dxa"/>
            <w:noWrap/>
            <w:vAlign w:val="center"/>
          </w:tcPr>
          <w:p w14:paraId="4CFAE2E9">
            <w:pPr>
              <w:pStyle w:val="36"/>
              <w:bidi w:val="0"/>
              <w:jc w:val="left"/>
              <w:rPr>
                <w:color w:val="auto"/>
              </w:rPr>
            </w:pPr>
            <w:r>
              <w:rPr>
                <w:rFonts w:hint="eastAsia"/>
                <w:color w:val="auto"/>
              </w:rPr>
              <w:t>在现场没有采取防范、监测、保护、控制措施，或危害的发生不能被发现（没有监测系统），或在正常情况下经常发生此类事故或事件。</w:t>
            </w:r>
          </w:p>
        </w:tc>
      </w:tr>
      <w:tr w14:paraId="649A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jc w:val="center"/>
        </w:trPr>
        <w:tc>
          <w:tcPr>
            <w:tcW w:w="907" w:type="dxa"/>
            <w:noWrap/>
            <w:vAlign w:val="center"/>
          </w:tcPr>
          <w:p w14:paraId="137DE58F">
            <w:pPr>
              <w:pStyle w:val="36"/>
              <w:bidi w:val="0"/>
              <w:rPr>
                <w:color w:val="auto"/>
              </w:rPr>
            </w:pPr>
            <w:r>
              <w:rPr>
                <w:rFonts w:hint="eastAsia"/>
                <w:color w:val="auto"/>
              </w:rPr>
              <w:t>4</w:t>
            </w:r>
          </w:p>
        </w:tc>
        <w:tc>
          <w:tcPr>
            <w:tcW w:w="7965" w:type="dxa"/>
            <w:noWrap/>
            <w:vAlign w:val="center"/>
          </w:tcPr>
          <w:p w14:paraId="24CA27B3">
            <w:pPr>
              <w:pStyle w:val="36"/>
              <w:bidi w:val="0"/>
              <w:jc w:val="left"/>
              <w:rPr>
                <w:color w:val="auto"/>
              </w:rPr>
            </w:pPr>
            <w:r>
              <w:rPr>
                <w:rFonts w:hint="eastAsia"/>
                <w:color w:val="auto"/>
              </w:rPr>
              <w:t>危害的发生不容易被发现，现场没有检测系统，也未发生过任何监测，或在现场有控制措施，但未有效执行或控制措施不当，或危害常发生或在预期情况下发生。</w:t>
            </w:r>
          </w:p>
        </w:tc>
      </w:tr>
      <w:tr w14:paraId="09AA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0" w:hRule="atLeast"/>
          <w:jc w:val="center"/>
        </w:trPr>
        <w:tc>
          <w:tcPr>
            <w:tcW w:w="907" w:type="dxa"/>
            <w:noWrap/>
            <w:vAlign w:val="center"/>
          </w:tcPr>
          <w:p w14:paraId="2D8E5307">
            <w:pPr>
              <w:pStyle w:val="36"/>
              <w:bidi w:val="0"/>
              <w:rPr>
                <w:color w:val="auto"/>
              </w:rPr>
            </w:pPr>
            <w:r>
              <w:rPr>
                <w:rFonts w:hint="eastAsia"/>
                <w:color w:val="auto"/>
              </w:rPr>
              <w:t>3</w:t>
            </w:r>
          </w:p>
        </w:tc>
        <w:tc>
          <w:tcPr>
            <w:tcW w:w="7965" w:type="dxa"/>
            <w:noWrap/>
            <w:vAlign w:val="center"/>
          </w:tcPr>
          <w:p w14:paraId="6B183107">
            <w:pPr>
              <w:pStyle w:val="36"/>
              <w:bidi w:val="0"/>
              <w:jc w:val="left"/>
              <w:rPr>
                <w:color w:val="auto"/>
              </w:rPr>
            </w:pPr>
            <w:r>
              <w:rPr>
                <w:rFonts w:hint="eastAsia"/>
                <w:color w:val="auto"/>
              </w:rPr>
              <w:t>没有保护措施（如没有保护装置、没有个人防护用品等），或未严格按操作程序执行，或危害的发生容易被发现（现场有监测系统），或曾经做过监测，或过去曾经发生类似事故或事件，或在异常情况下类似事故或事件。</w:t>
            </w:r>
          </w:p>
        </w:tc>
      </w:tr>
      <w:tr w14:paraId="0D33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907" w:type="dxa"/>
            <w:noWrap/>
            <w:vAlign w:val="center"/>
          </w:tcPr>
          <w:p w14:paraId="212F9EE2">
            <w:pPr>
              <w:pStyle w:val="36"/>
              <w:bidi w:val="0"/>
              <w:rPr>
                <w:color w:val="auto"/>
              </w:rPr>
            </w:pPr>
            <w:r>
              <w:rPr>
                <w:rFonts w:hint="eastAsia"/>
                <w:color w:val="auto"/>
              </w:rPr>
              <w:t>2</w:t>
            </w:r>
          </w:p>
        </w:tc>
        <w:tc>
          <w:tcPr>
            <w:tcW w:w="7965" w:type="dxa"/>
            <w:noWrap/>
            <w:vAlign w:val="center"/>
          </w:tcPr>
          <w:p w14:paraId="3608E52C">
            <w:pPr>
              <w:pStyle w:val="36"/>
              <w:bidi w:val="0"/>
              <w:jc w:val="left"/>
              <w:rPr>
                <w:color w:val="auto"/>
              </w:rPr>
            </w:pPr>
            <w:r>
              <w:rPr>
                <w:rFonts w:hint="eastAsia"/>
                <w:color w:val="auto"/>
              </w:rPr>
              <w:t>危害一旦发生能及时发现，并定期进行监测，或现场有防范控制措施，并能有效执行，或过去偶尔发生事故或事件。</w:t>
            </w:r>
          </w:p>
        </w:tc>
      </w:tr>
      <w:tr w14:paraId="6416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907" w:type="dxa"/>
            <w:noWrap/>
            <w:vAlign w:val="center"/>
          </w:tcPr>
          <w:p w14:paraId="02B89111">
            <w:pPr>
              <w:pStyle w:val="36"/>
              <w:bidi w:val="0"/>
              <w:rPr>
                <w:color w:val="auto"/>
              </w:rPr>
            </w:pPr>
            <w:r>
              <w:rPr>
                <w:rFonts w:hint="eastAsia"/>
                <w:color w:val="auto"/>
              </w:rPr>
              <w:t>1</w:t>
            </w:r>
          </w:p>
        </w:tc>
        <w:tc>
          <w:tcPr>
            <w:tcW w:w="7965" w:type="dxa"/>
            <w:noWrap/>
            <w:vAlign w:val="center"/>
          </w:tcPr>
          <w:p w14:paraId="15567EDF">
            <w:pPr>
              <w:pStyle w:val="36"/>
              <w:bidi w:val="0"/>
              <w:jc w:val="left"/>
              <w:rPr>
                <w:color w:val="auto"/>
              </w:rPr>
            </w:pPr>
            <w:r>
              <w:rPr>
                <w:rFonts w:hint="eastAsia"/>
                <w:color w:val="auto"/>
              </w:rPr>
              <w:t>有充分、有效的防范、控制、监测、保护措施，或员工安全卫生意识相当高，严格执行操作规程。极不可能发生事故或事件。</w:t>
            </w:r>
          </w:p>
        </w:tc>
      </w:tr>
    </w:tbl>
    <w:p w14:paraId="60D62BA2">
      <w:pPr>
        <w:numPr>
          <w:ilvl w:val="0"/>
          <w:numId w:val="9"/>
        </w:numPr>
        <w:ind w:firstLine="655"/>
        <w:rPr>
          <w:color w:val="auto"/>
        </w:rPr>
      </w:pPr>
      <w:r>
        <w:rPr>
          <w:rFonts w:hint="eastAsia"/>
          <w:color w:val="auto"/>
        </w:rPr>
        <w:t>确定事故后果严重性S：</w:t>
      </w:r>
    </w:p>
    <w:p w14:paraId="01E8996A">
      <w:pPr>
        <w:ind w:firstLine="0" w:firstLineChars="0"/>
        <w:jc w:val="center"/>
        <w:outlineLvl w:val="4"/>
        <w:rPr>
          <w:rFonts w:ascii="宋体" w:hAnsi="宋体" w:eastAsia="宋体" w:cs="宋体"/>
          <w:b/>
          <w:bCs/>
          <w:color w:val="auto"/>
          <w:sz w:val="28"/>
          <w:szCs w:val="28"/>
        </w:rPr>
      </w:pPr>
      <w:r>
        <w:rPr>
          <w:rFonts w:hint="eastAsia" w:ascii="宋体" w:hAnsi="宋体" w:eastAsia="宋体" w:cs="宋体"/>
          <w:b/>
          <w:bCs/>
          <w:color w:val="auto"/>
          <w:sz w:val="28"/>
          <w:szCs w:val="28"/>
        </w:rPr>
        <w:t>事件后果严重性S</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2465"/>
        <w:gridCol w:w="1831"/>
        <w:gridCol w:w="1584"/>
        <w:gridCol w:w="1307"/>
        <w:gridCol w:w="1008"/>
      </w:tblGrid>
      <w:tr w14:paraId="4FE7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tblHeader/>
          <w:jc w:val="center"/>
        </w:trPr>
        <w:tc>
          <w:tcPr>
            <w:tcW w:w="477" w:type="pct"/>
            <w:noWrap/>
            <w:vAlign w:val="center"/>
          </w:tcPr>
          <w:p w14:paraId="7B257340">
            <w:pPr>
              <w:pStyle w:val="36"/>
              <w:bidi w:val="0"/>
              <w:rPr>
                <w:b/>
                <w:bCs/>
                <w:color w:val="auto"/>
              </w:rPr>
            </w:pPr>
            <w:r>
              <w:rPr>
                <w:rFonts w:hint="eastAsia"/>
                <w:b/>
                <w:bCs/>
                <w:color w:val="auto"/>
              </w:rPr>
              <w:t>等级</w:t>
            </w:r>
          </w:p>
        </w:tc>
        <w:tc>
          <w:tcPr>
            <w:tcW w:w="1360" w:type="pct"/>
            <w:noWrap/>
            <w:vAlign w:val="center"/>
          </w:tcPr>
          <w:p w14:paraId="0B81C716">
            <w:pPr>
              <w:pStyle w:val="36"/>
              <w:bidi w:val="0"/>
              <w:rPr>
                <w:b/>
                <w:bCs/>
                <w:color w:val="auto"/>
              </w:rPr>
            </w:pPr>
            <w:r>
              <w:rPr>
                <w:rFonts w:hint="eastAsia"/>
                <w:b/>
                <w:bCs/>
                <w:color w:val="auto"/>
                <w:lang w:eastAsia="zh-CN"/>
              </w:rPr>
              <w:t>法律法规</w:t>
            </w:r>
            <w:r>
              <w:rPr>
                <w:rFonts w:hint="eastAsia"/>
                <w:b/>
                <w:bCs/>
                <w:color w:val="auto"/>
              </w:rPr>
              <w:t>及其他要求</w:t>
            </w:r>
          </w:p>
        </w:tc>
        <w:tc>
          <w:tcPr>
            <w:tcW w:w="1010" w:type="pct"/>
            <w:noWrap/>
            <w:vAlign w:val="center"/>
          </w:tcPr>
          <w:p w14:paraId="04BEFB10">
            <w:pPr>
              <w:pStyle w:val="36"/>
              <w:bidi w:val="0"/>
              <w:rPr>
                <w:b/>
                <w:bCs/>
                <w:color w:val="auto"/>
              </w:rPr>
            </w:pPr>
            <w:r>
              <w:rPr>
                <w:rFonts w:hint="eastAsia"/>
                <w:b/>
                <w:bCs/>
                <w:color w:val="auto"/>
              </w:rPr>
              <w:t>人员</w:t>
            </w:r>
          </w:p>
        </w:tc>
        <w:tc>
          <w:tcPr>
            <w:tcW w:w="874" w:type="pct"/>
            <w:noWrap/>
            <w:vAlign w:val="center"/>
          </w:tcPr>
          <w:p w14:paraId="6EBF1CE2">
            <w:pPr>
              <w:pStyle w:val="36"/>
              <w:bidi w:val="0"/>
              <w:rPr>
                <w:b/>
                <w:bCs/>
                <w:color w:val="auto"/>
              </w:rPr>
            </w:pPr>
            <w:r>
              <w:rPr>
                <w:rFonts w:hint="eastAsia"/>
                <w:b/>
                <w:bCs/>
                <w:color w:val="auto"/>
              </w:rPr>
              <w:t>财产损失/万元</w:t>
            </w:r>
          </w:p>
        </w:tc>
        <w:tc>
          <w:tcPr>
            <w:tcW w:w="721" w:type="pct"/>
            <w:noWrap/>
            <w:vAlign w:val="center"/>
          </w:tcPr>
          <w:p w14:paraId="54EF21B1">
            <w:pPr>
              <w:pStyle w:val="36"/>
              <w:bidi w:val="0"/>
              <w:rPr>
                <w:b/>
                <w:bCs/>
                <w:color w:val="auto"/>
              </w:rPr>
            </w:pPr>
            <w:r>
              <w:rPr>
                <w:rFonts w:hint="eastAsia"/>
                <w:b/>
                <w:bCs/>
                <w:color w:val="auto"/>
              </w:rPr>
              <w:t>停止运营</w:t>
            </w:r>
          </w:p>
        </w:tc>
        <w:tc>
          <w:tcPr>
            <w:tcW w:w="556" w:type="pct"/>
            <w:noWrap/>
            <w:vAlign w:val="center"/>
          </w:tcPr>
          <w:p w14:paraId="40DFDD9D">
            <w:pPr>
              <w:pStyle w:val="36"/>
              <w:bidi w:val="0"/>
              <w:rPr>
                <w:rFonts w:hint="eastAsia"/>
                <w:b/>
                <w:bCs/>
                <w:color w:val="auto"/>
              </w:rPr>
            </w:pPr>
            <w:r>
              <w:rPr>
                <w:rFonts w:hint="eastAsia"/>
                <w:b/>
                <w:bCs/>
                <w:color w:val="auto"/>
              </w:rPr>
              <w:t>企业</w:t>
            </w:r>
          </w:p>
          <w:p w14:paraId="7EABFACD">
            <w:pPr>
              <w:pStyle w:val="36"/>
              <w:bidi w:val="0"/>
              <w:rPr>
                <w:b/>
                <w:bCs/>
                <w:color w:val="auto"/>
              </w:rPr>
            </w:pPr>
            <w:r>
              <w:rPr>
                <w:rFonts w:hint="eastAsia"/>
                <w:b/>
                <w:bCs/>
                <w:color w:val="auto"/>
              </w:rPr>
              <w:t>形象</w:t>
            </w:r>
          </w:p>
        </w:tc>
      </w:tr>
      <w:tr w14:paraId="063C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477" w:type="pct"/>
            <w:noWrap/>
            <w:vAlign w:val="center"/>
          </w:tcPr>
          <w:p w14:paraId="7D8BCE4C">
            <w:pPr>
              <w:pStyle w:val="36"/>
              <w:bidi w:val="0"/>
              <w:rPr>
                <w:color w:val="auto"/>
              </w:rPr>
            </w:pPr>
            <w:r>
              <w:rPr>
                <w:rFonts w:hint="eastAsia"/>
                <w:color w:val="auto"/>
              </w:rPr>
              <w:t>5</w:t>
            </w:r>
          </w:p>
        </w:tc>
        <w:tc>
          <w:tcPr>
            <w:tcW w:w="1360" w:type="pct"/>
            <w:noWrap/>
            <w:vAlign w:val="center"/>
          </w:tcPr>
          <w:p w14:paraId="6A05C19B">
            <w:pPr>
              <w:pStyle w:val="36"/>
              <w:bidi w:val="0"/>
              <w:rPr>
                <w:color w:val="auto"/>
              </w:rPr>
            </w:pPr>
            <w:r>
              <w:rPr>
                <w:rFonts w:hint="eastAsia"/>
                <w:color w:val="auto"/>
              </w:rPr>
              <w:t>违反</w:t>
            </w:r>
            <w:r>
              <w:rPr>
                <w:rFonts w:hint="eastAsia"/>
                <w:color w:val="auto"/>
                <w:lang w:eastAsia="zh-CN"/>
              </w:rPr>
              <w:t>法律法规</w:t>
            </w:r>
            <w:r>
              <w:rPr>
                <w:rFonts w:hint="eastAsia"/>
                <w:color w:val="auto"/>
              </w:rPr>
              <w:t>和标准</w:t>
            </w:r>
          </w:p>
        </w:tc>
        <w:tc>
          <w:tcPr>
            <w:tcW w:w="1010" w:type="pct"/>
            <w:noWrap/>
            <w:vAlign w:val="center"/>
          </w:tcPr>
          <w:p w14:paraId="35E9504E">
            <w:pPr>
              <w:pStyle w:val="36"/>
              <w:bidi w:val="0"/>
              <w:rPr>
                <w:color w:val="auto"/>
              </w:rPr>
            </w:pPr>
            <w:r>
              <w:rPr>
                <w:rFonts w:hint="eastAsia"/>
                <w:color w:val="auto"/>
              </w:rPr>
              <w:t>死亡，或需要疏散整个建筑的人员</w:t>
            </w:r>
          </w:p>
        </w:tc>
        <w:tc>
          <w:tcPr>
            <w:tcW w:w="874" w:type="pct"/>
            <w:noWrap/>
            <w:vAlign w:val="center"/>
          </w:tcPr>
          <w:p w14:paraId="74D8CACB">
            <w:pPr>
              <w:pStyle w:val="36"/>
              <w:bidi w:val="0"/>
              <w:rPr>
                <w:color w:val="auto"/>
              </w:rPr>
            </w:pPr>
            <w:r>
              <w:rPr>
                <w:rFonts w:hint="eastAsia"/>
                <w:color w:val="auto"/>
              </w:rPr>
              <w:t>50</w:t>
            </w:r>
          </w:p>
        </w:tc>
        <w:tc>
          <w:tcPr>
            <w:tcW w:w="721" w:type="pct"/>
            <w:noWrap/>
            <w:vAlign w:val="center"/>
          </w:tcPr>
          <w:p w14:paraId="65F041E3">
            <w:pPr>
              <w:pStyle w:val="36"/>
              <w:bidi w:val="0"/>
              <w:rPr>
                <w:color w:val="auto"/>
              </w:rPr>
            </w:pPr>
            <w:r>
              <w:rPr>
                <w:rFonts w:hint="eastAsia"/>
                <w:color w:val="auto"/>
              </w:rPr>
              <w:t>部分功能分区（&gt;2 个）</w:t>
            </w:r>
          </w:p>
        </w:tc>
        <w:tc>
          <w:tcPr>
            <w:tcW w:w="556" w:type="pct"/>
            <w:noWrap/>
            <w:vAlign w:val="center"/>
          </w:tcPr>
          <w:p w14:paraId="0D3C3C40">
            <w:pPr>
              <w:pStyle w:val="36"/>
              <w:bidi w:val="0"/>
              <w:rPr>
                <w:color w:val="auto"/>
              </w:rPr>
            </w:pPr>
            <w:r>
              <w:rPr>
                <w:rFonts w:hint="eastAsia"/>
                <w:color w:val="auto"/>
              </w:rPr>
              <w:t>重大国际影响</w:t>
            </w:r>
          </w:p>
        </w:tc>
      </w:tr>
      <w:tr w14:paraId="0BF6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jc w:val="center"/>
        </w:trPr>
        <w:tc>
          <w:tcPr>
            <w:tcW w:w="477" w:type="pct"/>
            <w:noWrap/>
            <w:vAlign w:val="center"/>
          </w:tcPr>
          <w:p w14:paraId="0AD8BFF5">
            <w:pPr>
              <w:pStyle w:val="36"/>
              <w:bidi w:val="0"/>
              <w:rPr>
                <w:color w:val="auto"/>
              </w:rPr>
            </w:pPr>
            <w:r>
              <w:rPr>
                <w:rFonts w:hint="eastAsia"/>
                <w:color w:val="auto"/>
              </w:rPr>
              <w:t>4</w:t>
            </w:r>
          </w:p>
        </w:tc>
        <w:tc>
          <w:tcPr>
            <w:tcW w:w="1360" w:type="pct"/>
            <w:noWrap/>
            <w:vAlign w:val="center"/>
          </w:tcPr>
          <w:p w14:paraId="2BC4DA08">
            <w:pPr>
              <w:pStyle w:val="36"/>
              <w:bidi w:val="0"/>
              <w:rPr>
                <w:color w:val="auto"/>
              </w:rPr>
            </w:pPr>
            <w:r>
              <w:rPr>
                <w:rFonts w:hint="eastAsia"/>
                <w:color w:val="auto"/>
              </w:rPr>
              <w:t>潜在违反法规和标准</w:t>
            </w:r>
          </w:p>
        </w:tc>
        <w:tc>
          <w:tcPr>
            <w:tcW w:w="1010" w:type="pct"/>
            <w:noWrap/>
            <w:vAlign w:val="center"/>
          </w:tcPr>
          <w:p w14:paraId="26CAECC5">
            <w:pPr>
              <w:pStyle w:val="36"/>
              <w:bidi w:val="0"/>
              <w:rPr>
                <w:color w:val="auto"/>
              </w:rPr>
            </w:pPr>
            <w:r>
              <w:rPr>
                <w:rFonts w:hint="eastAsia"/>
                <w:color w:val="auto"/>
              </w:rPr>
              <w:t>丧失劳动能力，或需要疏散整个楼层的人员</w:t>
            </w:r>
          </w:p>
        </w:tc>
        <w:tc>
          <w:tcPr>
            <w:tcW w:w="874" w:type="pct"/>
            <w:noWrap/>
            <w:vAlign w:val="center"/>
          </w:tcPr>
          <w:p w14:paraId="732D6F78">
            <w:pPr>
              <w:pStyle w:val="36"/>
              <w:bidi w:val="0"/>
              <w:rPr>
                <w:color w:val="auto"/>
              </w:rPr>
            </w:pPr>
            <w:r>
              <w:rPr>
                <w:rFonts w:hint="eastAsia"/>
                <w:color w:val="auto"/>
              </w:rPr>
              <w:t>25</w:t>
            </w:r>
          </w:p>
        </w:tc>
        <w:tc>
          <w:tcPr>
            <w:tcW w:w="721" w:type="pct"/>
            <w:noWrap/>
            <w:vAlign w:val="center"/>
          </w:tcPr>
          <w:p w14:paraId="1AE7111B">
            <w:pPr>
              <w:pStyle w:val="36"/>
              <w:bidi w:val="0"/>
              <w:rPr>
                <w:color w:val="auto"/>
              </w:rPr>
            </w:pPr>
            <w:r>
              <w:rPr>
                <w:rFonts w:hint="eastAsia"/>
                <w:color w:val="auto"/>
              </w:rPr>
              <w:t>2个功能分区</w:t>
            </w:r>
          </w:p>
        </w:tc>
        <w:tc>
          <w:tcPr>
            <w:tcW w:w="556" w:type="pct"/>
            <w:noWrap/>
            <w:vAlign w:val="center"/>
          </w:tcPr>
          <w:p w14:paraId="4C4AA293">
            <w:pPr>
              <w:pStyle w:val="36"/>
              <w:bidi w:val="0"/>
              <w:rPr>
                <w:color w:val="auto"/>
              </w:rPr>
            </w:pPr>
            <w:r>
              <w:rPr>
                <w:rFonts w:hint="eastAsia"/>
                <w:color w:val="auto"/>
              </w:rPr>
              <w:t>行业内、省内影响</w:t>
            </w:r>
          </w:p>
        </w:tc>
      </w:tr>
      <w:tr w14:paraId="0FD4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3" w:hRule="atLeast"/>
          <w:jc w:val="center"/>
        </w:trPr>
        <w:tc>
          <w:tcPr>
            <w:tcW w:w="477" w:type="pct"/>
            <w:noWrap/>
            <w:vAlign w:val="center"/>
          </w:tcPr>
          <w:p w14:paraId="2EF3021D">
            <w:pPr>
              <w:pStyle w:val="36"/>
              <w:bidi w:val="0"/>
              <w:rPr>
                <w:color w:val="auto"/>
              </w:rPr>
            </w:pPr>
            <w:r>
              <w:rPr>
                <w:rFonts w:hint="eastAsia"/>
                <w:color w:val="auto"/>
              </w:rPr>
              <w:t>3</w:t>
            </w:r>
          </w:p>
        </w:tc>
        <w:tc>
          <w:tcPr>
            <w:tcW w:w="1360" w:type="pct"/>
            <w:noWrap/>
            <w:vAlign w:val="center"/>
          </w:tcPr>
          <w:p w14:paraId="35AF2C32">
            <w:pPr>
              <w:pStyle w:val="36"/>
              <w:bidi w:val="0"/>
              <w:rPr>
                <w:color w:val="auto"/>
              </w:rPr>
            </w:pPr>
            <w:r>
              <w:rPr>
                <w:rFonts w:hint="eastAsia"/>
                <w:color w:val="auto"/>
              </w:rPr>
              <w:t>不符合上级主管部门或行业的安全方针、制度、规定等</w:t>
            </w:r>
          </w:p>
        </w:tc>
        <w:tc>
          <w:tcPr>
            <w:tcW w:w="1010" w:type="pct"/>
            <w:noWrap/>
            <w:vAlign w:val="center"/>
          </w:tcPr>
          <w:p w14:paraId="0383DA66">
            <w:pPr>
              <w:pStyle w:val="36"/>
              <w:bidi w:val="0"/>
              <w:rPr>
                <w:color w:val="auto"/>
              </w:rPr>
            </w:pPr>
            <w:r>
              <w:rPr>
                <w:rFonts w:hint="eastAsia"/>
                <w:color w:val="auto"/>
              </w:rPr>
              <w:t>截肢、骨折、听力丧失、慢性病，或疏散整个功能分区的人员</w:t>
            </w:r>
          </w:p>
        </w:tc>
        <w:tc>
          <w:tcPr>
            <w:tcW w:w="874" w:type="pct"/>
            <w:noWrap/>
            <w:vAlign w:val="center"/>
          </w:tcPr>
          <w:p w14:paraId="45A27357">
            <w:pPr>
              <w:pStyle w:val="36"/>
              <w:bidi w:val="0"/>
              <w:rPr>
                <w:color w:val="auto"/>
              </w:rPr>
            </w:pPr>
            <w:r>
              <w:rPr>
                <w:rFonts w:hint="eastAsia"/>
                <w:color w:val="auto"/>
              </w:rPr>
              <w:t>10</w:t>
            </w:r>
          </w:p>
        </w:tc>
        <w:tc>
          <w:tcPr>
            <w:tcW w:w="721" w:type="pct"/>
            <w:noWrap/>
            <w:vAlign w:val="center"/>
          </w:tcPr>
          <w:p w14:paraId="13BEE9FC">
            <w:pPr>
              <w:pStyle w:val="36"/>
              <w:bidi w:val="0"/>
              <w:rPr>
                <w:color w:val="auto"/>
              </w:rPr>
            </w:pPr>
            <w:r>
              <w:rPr>
                <w:rFonts w:hint="eastAsia"/>
                <w:color w:val="auto"/>
              </w:rPr>
              <w:t>1个功能分区</w:t>
            </w:r>
          </w:p>
        </w:tc>
        <w:tc>
          <w:tcPr>
            <w:tcW w:w="556" w:type="pct"/>
            <w:noWrap/>
            <w:vAlign w:val="center"/>
          </w:tcPr>
          <w:p w14:paraId="2A23D704">
            <w:pPr>
              <w:pStyle w:val="36"/>
              <w:bidi w:val="0"/>
              <w:rPr>
                <w:color w:val="auto"/>
              </w:rPr>
            </w:pPr>
            <w:r>
              <w:rPr>
                <w:rFonts w:hint="eastAsia"/>
                <w:color w:val="auto"/>
              </w:rPr>
              <w:t>地区影响</w:t>
            </w:r>
          </w:p>
        </w:tc>
      </w:tr>
      <w:tr w14:paraId="7715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477" w:type="pct"/>
            <w:noWrap/>
            <w:vAlign w:val="center"/>
          </w:tcPr>
          <w:p w14:paraId="70A87527">
            <w:pPr>
              <w:pStyle w:val="36"/>
              <w:bidi w:val="0"/>
              <w:rPr>
                <w:color w:val="auto"/>
              </w:rPr>
            </w:pPr>
            <w:r>
              <w:rPr>
                <w:rFonts w:hint="eastAsia"/>
                <w:color w:val="auto"/>
              </w:rPr>
              <w:t>2</w:t>
            </w:r>
          </w:p>
        </w:tc>
        <w:tc>
          <w:tcPr>
            <w:tcW w:w="1360" w:type="pct"/>
            <w:noWrap/>
            <w:vAlign w:val="center"/>
          </w:tcPr>
          <w:p w14:paraId="6ECECC5F">
            <w:pPr>
              <w:pStyle w:val="36"/>
              <w:bidi w:val="0"/>
              <w:rPr>
                <w:color w:val="auto"/>
              </w:rPr>
            </w:pPr>
            <w:r>
              <w:rPr>
                <w:rFonts w:hint="eastAsia"/>
                <w:color w:val="auto"/>
              </w:rPr>
              <w:t>不符合企业的安全操作程序、规定</w:t>
            </w:r>
          </w:p>
        </w:tc>
        <w:tc>
          <w:tcPr>
            <w:tcW w:w="1010" w:type="pct"/>
            <w:noWrap/>
            <w:vAlign w:val="center"/>
          </w:tcPr>
          <w:p w14:paraId="15DC8A07">
            <w:pPr>
              <w:pStyle w:val="36"/>
              <w:bidi w:val="0"/>
              <w:rPr>
                <w:color w:val="auto"/>
              </w:rPr>
            </w:pPr>
            <w:r>
              <w:rPr>
                <w:rFonts w:hint="eastAsia"/>
                <w:color w:val="auto"/>
              </w:rPr>
              <w:t>轻微受伤、间歇不舒服，或疏散小范围人员</w:t>
            </w:r>
          </w:p>
        </w:tc>
        <w:tc>
          <w:tcPr>
            <w:tcW w:w="874" w:type="pct"/>
            <w:noWrap/>
            <w:vAlign w:val="center"/>
          </w:tcPr>
          <w:p w14:paraId="354CC127">
            <w:pPr>
              <w:pStyle w:val="36"/>
              <w:bidi w:val="0"/>
              <w:rPr>
                <w:color w:val="auto"/>
              </w:rPr>
            </w:pPr>
            <w:r>
              <w:rPr>
                <w:rFonts w:hint="eastAsia"/>
                <w:color w:val="auto"/>
              </w:rPr>
              <w:t>&lt;10</w:t>
            </w:r>
          </w:p>
        </w:tc>
        <w:tc>
          <w:tcPr>
            <w:tcW w:w="721" w:type="pct"/>
            <w:noWrap/>
            <w:vAlign w:val="center"/>
          </w:tcPr>
          <w:p w14:paraId="31B82B53">
            <w:pPr>
              <w:pStyle w:val="36"/>
              <w:bidi w:val="0"/>
              <w:rPr>
                <w:color w:val="auto"/>
              </w:rPr>
            </w:pPr>
            <w:r>
              <w:rPr>
                <w:rFonts w:hint="eastAsia"/>
                <w:color w:val="auto"/>
              </w:rPr>
              <w:t>受影响不大，几乎不停工</w:t>
            </w:r>
          </w:p>
        </w:tc>
        <w:tc>
          <w:tcPr>
            <w:tcW w:w="556" w:type="pct"/>
            <w:noWrap/>
            <w:vAlign w:val="center"/>
          </w:tcPr>
          <w:p w14:paraId="0491CAE5">
            <w:pPr>
              <w:pStyle w:val="36"/>
              <w:bidi w:val="0"/>
              <w:rPr>
                <w:color w:val="auto"/>
              </w:rPr>
            </w:pPr>
            <w:r>
              <w:rPr>
                <w:rFonts w:hint="eastAsia"/>
                <w:color w:val="auto"/>
              </w:rPr>
              <w:t>企业及周边范围</w:t>
            </w:r>
          </w:p>
        </w:tc>
      </w:tr>
      <w:tr w14:paraId="281B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477" w:type="pct"/>
            <w:noWrap/>
            <w:vAlign w:val="center"/>
          </w:tcPr>
          <w:p w14:paraId="75333AF9">
            <w:pPr>
              <w:pStyle w:val="36"/>
              <w:bidi w:val="0"/>
              <w:rPr>
                <w:color w:val="auto"/>
              </w:rPr>
            </w:pPr>
            <w:r>
              <w:rPr>
                <w:rFonts w:hint="eastAsia"/>
                <w:color w:val="auto"/>
              </w:rPr>
              <w:t>1</w:t>
            </w:r>
          </w:p>
        </w:tc>
        <w:tc>
          <w:tcPr>
            <w:tcW w:w="1360" w:type="pct"/>
            <w:noWrap/>
            <w:vAlign w:val="center"/>
          </w:tcPr>
          <w:p w14:paraId="08236B83">
            <w:pPr>
              <w:pStyle w:val="36"/>
              <w:bidi w:val="0"/>
              <w:rPr>
                <w:color w:val="auto"/>
              </w:rPr>
            </w:pPr>
            <w:r>
              <w:rPr>
                <w:rFonts w:hint="eastAsia"/>
                <w:color w:val="auto"/>
              </w:rPr>
              <w:t>完全符合</w:t>
            </w:r>
          </w:p>
        </w:tc>
        <w:tc>
          <w:tcPr>
            <w:tcW w:w="1010" w:type="pct"/>
            <w:noWrap/>
            <w:vAlign w:val="center"/>
          </w:tcPr>
          <w:p w14:paraId="09D13A43">
            <w:pPr>
              <w:pStyle w:val="36"/>
              <w:bidi w:val="0"/>
              <w:rPr>
                <w:color w:val="auto"/>
              </w:rPr>
            </w:pPr>
            <w:r>
              <w:rPr>
                <w:rFonts w:hint="eastAsia"/>
                <w:color w:val="auto"/>
              </w:rPr>
              <w:t>无伤亡，不需要疏散人员</w:t>
            </w:r>
          </w:p>
        </w:tc>
        <w:tc>
          <w:tcPr>
            <w:tcW w:w="874" w:type="pct"/>
            <w:noWrap/>
            <w:vAlign w:val="center"/>
          </w:tcPr>
          <w:p w14:paraId="06F935F4">
            <w:pPr>
              <w:pStyle w:val="36"/>
              <w:bidi w:val="0"/>
              <w:rPr>
                <w:color w:val="auto"/>
              </w:rPr>
            </w:pPr>
            <w:r>
              <w:rPr>
                <w:rFonts w:hint="eastAsia"/>
                <w:color w:val="auto"/>
              </w:rPr>
              <w:t>无损失</w:t>
            </w:r>
          </w:p>
        </w:tc>
        <w:tc>
          <w:tcPr>
            <w:tcW w:w="721" w:type="pct"/>
            <w:noWrap/>
            <w:vAlign w:val="center"/>
          </w:tcPr>
          <w:p w14:paraId="02E42BF8">
            <w:pPr>
              <w:pStyle w:val="36"/>
              <w:bidi w:val="0"/>
              <w:rPr>
                <w:color w:val="auto"/>
              </w:rPr>
            </w:pPr>
            <w:r>
              <w:rPr>
                <w:rFonts w:hint="eastAsia"/>
                <w:color w:val="auto"/>
              </w:rPr>
              <w:t>没有停工</w:t>
            </w:r>
          </w:p>
        </w:tc>
        <w:tc>
          <w:tcPr>
            <w:tcW w:w="556" w:type="pct"/>
            <w:noWrap/>
            <w:vAlign w:val="center"/>
          </w:tcPr>
          <w:p w14:paraId="1AC690A6">
            <w:pPr>
              <w:pStyle w:val="36"/>
              <w:bidi w:val="0"/>
              <w:rPr>
                <w:color w:val="auto"/>
              </w:rPr>
            </w:pPr>
            <w:r>
              <w:rPr>
                <w:rFonts w:hint="eastAsia"/>
                <w:color w:val="auto"/>
              </w:rPr>
              <w:t>形象没有受损</w:t>
            </w:r>
          </w:p>
        </w:tc>
      </w:tr>
    </w:tbl>
    <w:p w14:paraId="0CA67C27">
      <w:pPr>
        <w:numPr>
          <w:ilvl w:val="0"/>
          <w:numId w:val="9"/>
        </w:numPr>
        <w:ind w:firstLine="655"/>
        <w:rPr>
          <w:color w:val="auto"/>
        </w:rPr>
      </w:pPr>
      <w:r>
        <w:rPr>
          <w:rFonts w:hint="eastAsia"/>
          <w:color w:val="auto"/>
        </w:rPr>
        <w:t>计算风险值R：</w:t>
      </w:r>
    </w:p>
    <w:p w14:paraId="7636B41A">
      <w:pPr>
        <w:ind w:firstLine="0" w:firstLineChars="0"/>
        <w:jc w:val="center"/>
        <w:outlineLvl w:val="4"/>
        <w:rPr>
          <w:rFonts w:ascii="宋体" w:hAnsi="宋体" w:eastAsia="宋体" w:cs="宋体"/>
          <w:b/>
          <w:bCs/>
          <w:color w:val="auto"/>
          <w:sz w:val="28"/>
          <w:szCs w:val="28"/>
        </w:rPr>
      </w:pPr>
      <w:bookmarkStart w:id="34" w:name="_Toc25883"/>
      <w:r>
        <w:rPr>
          <w:rFonts w:hint="eastAsia" w:ascii="宋体" w:hAnsi="宋体" w:eastAsia="宋体" w:cs="宋体"/>
          <w:b/>
          <w:bCs/>
          <w:color w:val="auto"/>
          <w:sz w:val="28"/>
          <w:szCs w:val="28"/>
        </w:rPr>
        <w:t>安全风险等级判定准则及控制措施R</w:t>
      </w:r>
      <w:bookmarkEnd w:id="34"/>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731"/>
        <w:gridCol w:w="750"/>
        <w:gridCol w:w="4969"/>
        <w:gridCol w:w="1465"/>
      </w:tblGrid>
      <w:tr w14:paraId="6F51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84" w:hRule="atLeast"/>
          <w:jc w:val="center"/>
        </w:trPr>
        <w:tc>
          <w:tcPr>
            <w:tcW w:w="632" w:type="pct"/>
            <w:noWrap/>
            <w:vAlign w:val="center"/>
          </w:tcPr>
          <w:p w14:paraId="4FFF8BC4">
            <w:pPr>
              <w:pStyle w:val="36"/>
              <w:bidi w:val="0"/>
              <w:rPr>
                <w:b/>
                <w:bCs/>
                <w:color w:val="auto"/>
              </w:rPr>
            </w:pPr>
            <w:r>
              <w:rPr>
                <w:rFonts w:hint="eastAsia"/>
                <w:b/>
                <w:bCs/>
                <w:color w:val="auto"/>
              </w:rPr>
              <w:t>风险度</w:t>
            </w:r>
          </w:p>
        </w:tc>
        <w:tc>
          <w:tcPr>
            <w:tcW w:w="817" w:type="pct"/>
            <w:gridSpan w:val="2"/>
            <w:noWrap/>
            <w:vAlign w:val="center"/>
          </w:tcPr>
          <w:p w14:paraId="6F9DD4D6">
            <w:pPr>
              <w:pStyle w:val="36"/>
              <w:bidi w:val="0"/>
              <w:rPr>
                <w:b/>
                <w:bCs/>
                <w:color w:val="auto"/>
              </w:rPr>
            </w:pPr>
            <w:r>
              <w:rPr>
                <w:rFonts w:hint="eastAsia"/>
                <w:b/>
                <w:bCs/>
                <w:color w:val="auto"/>
              </w:rPr>
              <w:t>等级</w:t>
            </w:r>
          </w:p>
        </w:tc>
        <w:tc>
          <w:tcPr>
            <w:tcW w:w="2741" w:type="pct"/>
            <w:noWrap/>
            <w:vAlign w:val="center"/>
          </w:tcPr>
          <w:p w14:paraId="4EDF55C5">
            <w:pPr>
              <w:pStyle w:val="36"/>
              <w:bidi w:val="0"/>
              <w:rPr>
                <w:b/>
                <w:bCs/>
                <w:color w:val="auto"/>
              </w:rPr>
            </w:pPr>
            <w:r>
              <w:rPr>
                <w:rFonts w:hint="eastAsia"/>
                <w:b/>
                <w:bCs/>
                <w:color w:val="auto"/>
              </w:rPr>
              <w:t>应采取的行动/控制措施</w:t>
            </w:r>
          </w:p>
        </w:tc>
        <w:tc>
          <w:tcPr>
            <w:tcW w:w="808" w:type="pct"/>
            <w:noWrap/>
            <w:vAlign w:val="center"/>
          </w:tcPr>
          <w:p w14:paraId="1ED8ED17">
            <w:pPr>
              <w:pStyle w:val="36"/>
              <w:bidi w:val="0"/>
              <w:rPr>
                <w:b/>
                <w:bCs/>
                <w:color w:val="auto"/>
              </w:rPr>
            </w:pPr>
            <w:r>
              <w:rPr>
                <w:rFonts w:hint="eastAsia"/>
                <w:b/>
                <w:bCs/>
                <w:color w:val="auto"/>
              </w:rPr>
              <w:t>实施期限</w:t>
            </w:r>
          </w:p>
        </w:tc>
      </w:tr>
      <w:tr w14:paraId="57DA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jc w:val="center"/>
        </w:trPr>
        <w:tc>
          <w:tcPr>
            <w:tcW w:w="632" w:type="pct"/>
            <w:shd w:val="clear" w:color="auto" w:fill="FF0000"/>
            <w:noWrap/>
            <w:vAlign w:val="center"/>
          </w:tcPr>
          <w:p w14:paraId="67E0D596">
            <w:pPr>
              <w:pStyle w:val="36"/>
              <w:bidi w:val="0"/>
              <w:rPr>
                <w:color w:val="auto"/>
              </w:rPr>
            </w:pPr>
            <w:r>
              <w:rPr>
                <w:rFonts w:hint="eastAsia"/>
                <w:color w:val="auto"/>
              </w:rPr>
              <w:t>20-25</w:t>
            </w:r>
          </w:p>
        </w:tc>
        <w:tc>
          <w:tcPr>
            <w:tcW w:w="403" w:type="pct"/>
            <w:noWrap/>
            <w:vAlign w:val="center"/>
          </w:tcPr>
          <w:p w14:paraId="615A1542">
            <w:pPr>
              <w:pStyle w:val="36"/>
              <w:bidi w:val="0"/>
              <w:rPr>
                <w:color w:val="auto"/>
              </w:rPr>
            </w:pPr>
            <w:r>
              <w:rPr>
                <w:rFonts w:hint="eastAsia"/>
                <w:color w:val="auto"/>
              </w:rPr>
              <w:t>1级</w:t>
            </w:r>
          </w:p>
        </w:tc>
        <w:tc>
          <w:tcPr>
            <w:tcW w:w="413" w:type="pct"/>
            <w:noWrap/>
            <w:vAlign w:val="center"/>
          </w:tcPr>
          <w:p w14:paraId="0088DB97">
            <w:pPr>
              <w:pStyle w:val="36"/>
              <w:bidi w:val="0"/>
              <w:rPr>
                <w:color w:val="auto"/>
              </w:rPr>
            </w:pPr>
            <w:r>
              <w:rPr>
                <w:rFonts w:hint="eastAsia"/>
                <w:color w:val="auto"/>
              </w:rPr>
              <w:t>重大</w:t>
            </w:r>
          </w:p>
        </w:tc>
        <w:tc>
          <w:tcPr>
            <w:tcW w:w="2741" w:type="pct"/>
            <w:noWrap/>
            <w:vAlign w:val="center"/>
          </w:tcPr>
          <w:p w14:paraId="2A25AB42">
            <w:pPr>
              <w:pStyle w:val="36"/>
              <w:bidi w:val="0"/>
              <w:jc w:val="left"/>
              <w:rPr>
                <w:color w:val="auto"/>
              </w:rPr>
            </w:pPr>
            <w:r>
              <w:rPr>
                <w:rFonts w:hint="eastAsia"/>
                <w:color w:val="auto"/>
              </w:rPr>
              <w:t>在采取措施降低危害前，不能继续作业，对改进措施进行评估</w:t>
            </w:r>
          </w:p>
        </w:tc>
        <w:tc>
          <w:tcPr>
            <w:tcW w:w="808" w:type="pct"/>
            <w:noWrap/>
            <w:vAlign w:val="center"/>
          </w:tcPr>
          <w:p w14:paraId="658ECAE9">
            <w:pPr>
              <w:pStyle w:val="36"/>
              <w:bidi w:val="0"/>
              <w:rPr>
                <w:color w:val="auto"/>
              </w:rPr>
            </w:pPr>
            <w:r>
              <w:rPr>
                <w:rFonts w:hint="eastAsia"/>
                <w:color w:val="auto"/>
              </w:rPr>
              <w:t>立刻</w:t>
            </w:r>
          </w:p>
        </w:tc>
      </w:tr>
      <w:tr w14:paraId="3C73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632" w:type="pct"/>
            <w:shd w:val="clear" w:color="auto" w:fill="FFC000"/>
            <w:noWrap/>
            <w:vAlign w:val="center"/>
          </w:tcPr>
          <w:p w14:paraId="11089A62">
            <w:pPr>
              <w:pStyle w:val="36"/>
              <w:bidi w:val="0"/>
              <w:rPr>
                <w:color w:val="auto"/>
              </w:rPr>
            </w:pPr>
            <w:r>
              <w:rPr>
                <w:rFonts w:hint="eastAsia"/>
                <w:color w:val="auto"/>
              </w:rPr>
              <w:t>15-16</w:t>
            </w:r>
          </w:p>
        </w:tc>
        <w:tc>
          <w:tcPr>
            <w:tcW w:w="403" w:type="pct"/>
            <w:noWrap/>
            <w:vAlign w:val="center"/>
          </w:tcPr>
          <w:p w14:paraId="2C3DA7ED">
            <w:pPr>
              <w:pStyle w:val="36"/>
              <w:bidi w:val="0"/>
              <w:rPr>
                <w:color w:val="auto"/>
              </w:rPr>
            </w:pPr>
            <w:r>
              <w:rPr>
                <w:rFonts w:hint="eastAsia"/>
                <w:color w:val="auto"/>
              </w:rPr>
              <w:t>2级</w:t>
            </w:r>
          </w:p>
        </w:tc>
        <w:tc>
          <w:tcPr>
            <w:tcW w:w="413" w:type="pct"/>
            <w:noWrap/>
            <w:vAlign w:val="center"/>
          </w:tcPr>
          <w:p w14:paraId="60964627">
            <w:pPr>
              <w:pStyle w:val="36"/>
              <w:bidi w:val="0"/>
              <w:rPr>
                <w:color w:val="auto"/>
              </w:rPr>
            </w:pPr>
            <w:r>
              <w:rPr>
                <w:rFonts w:hint="eastAsia"/>
                <w:color w:val="auto"/>
              </w:rPr>
              <w:t>较大</w:t>
            </w:r>
          </w:p>
        </w:tc>
        <w:tc>
          <w:tcPr>
            <w:tcW w:w="2741" w:type="pct"/>
            <w:noWrap/>
            <w:vAlign w:val="center"/>
          </w:tcPr>
          <w:p w14:paraId="22140D65">
            <w:pPr>
              <w:pStyle w:val="36"/>
              <w:bidi w:val="0"/>
              <w:jc w:val="left"/>
              <w:rPr>
                <w:color w:val="auto"/>
              </w:rPr>
            </w:pPr>
            <w:r>
              <w:rPr>
                <w:rFonts w:hint="eastAsia"/>
                <w:color w:val="auto"/>
              </w:rPr>
              <w:t>采取紧急措施降低风险，建立运行控制程序，定期检查、测量及评估</w:t>
            </w:r>
          </w:p>
        </w:tc>
        <w:tc>
          <w:tcPr>
            <w:tcW w:w="808" w:type="pct"/>
            <w:noWrap/>
            <w:vAlign w:val="center"/>
          </w:tcPr>
          <w:p w14:paraId="09CBE824">
            <w:pPr>
              <w:pStyle w:val="36"/>
              <w:bidi w:val="0"/>
              <w:rPr>
                <w:color w:val="auto"/>
              </w:rPr>
            </w:pPr>
            <w:r>
              <w:rPr>
                <w:rFonts w:hint="eastAsia"/>
                <w:color w:val="auto"/>
              </w:rPr>
              <w:t>立即或近期整改</w:t>
            </w:r>
          </w:p>
        </w:tc>
      </w:tr>
      <w:tr w14:paraId="1A35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 w:hRule="atLeast"/>
          <w:jc w:val="center"/>
        </w:trPr>
        <w:tc>
          <w:tcPr>
            <w:tcW w:w="632" w:type="pct"/>
            <w:shd w:val="clear" w:color="auto" w:fill="FFFF00"/>
            <w:noWrap/>
            <w:vAlign w:val="center"/>
          </w:tcPr>
          <w:p w14:paraId="2BBFF038">
            <w:pPr>
              <w:pStyle w:val="36"/>
              <w:bidi w:val="0"/>
              <w:rPr>
                <w:color w:val="auto"/>
              </w:rPr>
            </w:pPr>
            <w:r>
              <w:rPr>
                <w:rFonts w:hint="eastAsia"/>
                <w:color w:val="auto"/>
              </w:rPr>
              <w:t>9-12</w:t>
            </w:r>
          </w:p>
        </w:tc>
        <w:tc>
          <w:tcPr>
            <w:tcW w:w="403" w:type="pct"/>
            <w:noWrap/>
            <w:vAlign w:val="center"/>
          </w:tcPr>
          <w:p w14:paraId="54D87009">
            <w:pPr>
              <w:pStyle w:val="36"/>
              <w:bidi w:val="0"/>
              <w:rPr>
                <w:color w:val="auto"/>
              </w:rPr>
            </w:pPr>
            <w:r>
              <w:rPr>
                <w:rFonts w:hint="eastAsia"/>
                <w:color w:val="auto"/>
              </w:rPr>
              <w:t>3级</w:t>
            </w:r>
          </w:p>
        </w:tc>
        <w:tc>
          <w:tcPr>
            <w:tcW w:w="413" w:type="pct"/>
            <w:noWrap/>
            <w:vAlign w:val="center"/>
          </w:tcPr>
          <w:p w14:paraId="790F9193">
            <w:pPr>
              <w:pStyle w:val="36"/>
              <w:bidi w:val="0"/>
              <w:rPr>
                <w:color w:val="auto"/>
              </w:rPr>
            </w:pPr>
            <w:r>
              <w:rPr>
                <w:rFonts w:hint="eastAsia"/>
                <w:color w:val="auto"/>
              </w:rPr>
              <w:t>一般</w:t>
            </w:r>
          </w:p>
        </w:tc>
        <w:tc>
          <w:tcPr>
            <w:tcW w:w="2741" w:type="pct"/>
            <w:noWrap/>
            <w:vAlign w:val="center"/>
          </w:tcPr>
          <w:p w14:paraId="785AB302">
            <w:pPr>
              <w:pStyle w:val="36"/>
              <w:bidi w:val="0"/>
              <w:jc w:val="left"/>
              <w:rPr>
                <w:color w:val="auto"/>
              </w:rPr>
            </w:pPr>
            <w:r>
              <w:rPr>
                <w:rFonts w:hint="eastAsia"/>
                <w:color w:val="auto"/>
              </w:rPr>
              <w:t>可考虑建立目标、建立操作规程，加强培训及沟通</w:t>
            </w:r>
          </w:p>
        </w:tc>
        <w:tc>
          <w:tcPr>
            <w:tcW w:w="808" w:type="pct"/>
            <w:noWrap/>
            <w:vAlign w:val="center"/>
          </w:tcPr>
          <w:p w14:paraId="6D6C0BF5">
            <w:pPr>
              <w:pStyle w:val="36"/>
              <w:bidi w:val="0"/>
              <w:rPr>
                <w:color w:val="auto"/>
              </w:rPr>
            </w:pPr>
            <w:r>
              <w:rPr>
                <w:rFonts w:hint="eastAsia"/>
                <w:color w:val="auto"/>
              </w:rPr>
              <w:t>2年内治理</w:t>
            </w:r>
          </w:p>
        </w:tc>
      </w:tr>
      <w:tr w14:paraId="3F41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jc w:val="center"/>
        </w:trPr>
        <w:tc>
          <w:tcPr>
            <w:tcW w:w="632" w:type="pct"/>
            <w:shd w:val="clear" w:color="auto" w:fill="0070C0"/>
            <w:noWrap/>
            <w:vAlign w:val="center"/>
          </w:tcPr>
          <w:p w14:paraId="3F7D17C8">
            <w:pPr>
              <w:pStyle w:val="36"/>
              <w:bidi w:val="0"/>
              <w:rPr>
                <w:color w:val="auto"/>
              </w:rPr>
            </w:pPr>
            <w:r>
              <w:rPr>
                <w:rFonts w:hint="eastAsia"/>
                <w:color w:val="auto"/>
              </w:rPr>
              <w:t>&lt;8</w:t>
            </w:r>
          </w:p>
        </w:tc>
        <w:tc>
          <w:tcPr>
            <w:tcW w:w="403" w:type="pct"/>
            <w:noWrap/>
            <w:vAlign w:val="center"/>
          </w:tcPr>
          <w:p w14:paraId="30B3FCB7">
            <w:pPr>
              <w:pStyle w:val="36"/>
              <w:bidi w:val="0"/>
              <w:rPr>
                <w:color w:val="auto"/>
              </w:rPr>
            </w:pPr>
            <w:r>
              <w:rPr>
                <w:rFonts w:hint="eastAsia"/>
                <w:color w:val="auto"/>
              </w:rPr>
              <w:t>4级</w:t>
            </w:r>
          </w:p>
        </w:tc>
        <w:tc>
          <w:tcPr>
            <w:tcW w:w="413" w:type="pct"/>
            <w:noWrap/>
            <w:vAlign w:val="center"/>
          </w:tcPr>
          <w:p w14:paraId="6FE13F56">
            <w:pPr>
              <w:pStyle w:val="36"/>
              <w:bidi w:val="0"/>
              <w:rPr>
                <w:color w:val="auto"/>
              </w:rPr>
            </w:pPr>
            <w:r>
              <w:rPr>
                <w:rFonts w:hint="eastAsia"/>
                <w:color w:val="auto"/>
              </w:rPr>
              <w:t>低</w:t>
            </w:r>
          </w:p>
        </w:tc>
        <w:tc>
          <w:tcPr>
            <w:tcW w:w="2741" w:type="pct"/>
            <w:noWrap/>
            <w:vAlign w:val="center"/>
          </w:tcPr>
          <w:p w14:paraId="5CC2314C">
            <w:pPr>
              <w:pStyle w:val="36"/>
              <w:bidi w:val="0"/>
              <w:jc w:val="left"/>
              <w:rPr>
                <w:color w:val="auto"/>
              </w:rPr>
            </w:pPr>
            <w:r>
              <w:rPr>
                <w:rFonts w:hint="eastAsia"/>
                <w:color w:val="auto"/>
              </w:rPr>
              <w:t>可考虑建立操作规程、作业指导书但需定期检查或无需采用控制措施</w:t>
            </w:r>
          </w:p>
        </w:tc>
        <w:tc>
          <w:tcPr>
            <w:tcW w:w="808" w:type="pct"/>
            <w:noWrap/>
            <w:vAlign w:val="center"/>
          </w:tcPr>
          <w:p w14:paraId="0EF7D09B">
            <w:pPr>
              <w:pStyle w:val="36"/>
              <w:bidi w:val="0"/>
              <w:rPr>
                <w:color w:val="auto"/>
              </w:rPr>
            </w:pPr>
            <w:r>
              <w:rPr>
                <w:rFonts w:hint="eastAsia"/>
                <w:color w:val="auto"/>
              </w:rPr>
              <w:t>有条件、有经费时治理</w:t>
            </w:r>
          </w:p>
        </w:tc>
      </w:tr>
    </w:tbl>
    <w:p w14:paraId="06B0BF7C">
      <w:pPr>
        <w:pStyle w:val="4"/>
        <w:bidi w:val="0"/>
        <w:rPr>
          <w:rFonts w:hint="default"/>
          <w:color w:val="auto"/>
          <w:lang w:val="en-US" w:eastAsia="zh-CN"/>
        </w:rPr>
      </w:pPr>
      <w:bookmarkStart w:id="35" w:name="_Toc6824"/>
      <w:r>
        <w:rPr>
          <w:rFonts w:hint="eastAsia"/>
          <w:color w:val="auto"/>
          <w:lang w:val="en-US" w:eastAsia="zh-CN"/>
        </w:rPr>
        <w:t>事故风险评估结果</w:t>
      </w:r>
      <w:bookmarkEnd w:id="35"/>
    </w:p>
    <w:p w14:paraId="33C5C993">
      <w:pPr>
        <w:ind w:firstLine="0" w:firstLineChars="0"/>
        <w:jc w:val="center"/>
        <w:outlineLvl w:val="4"/>
        <w:rPr>
          <w:rFonts w:hint="eastAsia" w:ascii="宋体" w:hAnsi="宋体" w:eastAsia="宋体" w:cs="宋体"/>
          <w:b/>
          <w:bCs/>
          <w:color w:val="auto"/>
          <w:sz w:val="28"/>
          <w:szCs w:val="28"/>
          <w:lang w:eastAsia="zh-CN"/>
        </w:rPr>
      </w:pPr>
      <w:r>
        <w:rPr>
          <w:rFonts w:hint="eastAsia" w:ascii="宋体" w:hAnsi="宋体" w:eastAsia="宋体" w:cs="宋体"/>
          <w:b/>
          <w:bCs/>
          <w:color w:val="auto"/>
          <w:sz w:val="28"/>
          <w:szCs w:val="28"/>
        </w:rPr>
        <w:t>主要的危险有害因素分析结果表</w:t>
      </w:r>
    </w:p>
    <w:tbl>
      <w:tblPr>
        <w:tblStyle w:val="26"/>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2851"/>
        <w:gridCol w:w="803"/>
        <w:gridCol w:w="744"/>
        <w:gridCol w:w="957"/>
        <w:gridCol w:w="2259"/>
      </w:tblGrid>
      <w:tr w14:paraId="4DBF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vAlign w:val="center"/>
          </w:tcPr>
          <w:p w14:paraId="63C5390D">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序号</w:t>
            </w:r>
          </w:p>
        </w:tc>
        <w:tc>
          <w:tcPr>
            <w:tcW w:w="1633" w:type="pct"/>
            <w:vAlign w:val="center"/>
          </w:tcPr>
          <w:p w14:paraId="62283EB4">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事故类型</w:t>
            </w:r>
          </w:p>
        </w:tc>
        <w:tc>
          <w:tcPr>
            <w:tcW w:w="460" w:type="pct"/>
            <w:vAlign w:val="center"/>
          </w:tcPr>
          <w:p w14:paraId="34E53717">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L</w:t>
            </w:r>
          </w:p>
        </w:tc>
        <w:tc>
          <w:tcPr>
            <w:tcW w:w="426" w:type="pct"/>
            <w:vAlign w:val="center"/>
          </w:tcPr>
          <w:p w14:paraId="53D08A48">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S</w:t>
            </w:r>
          </w:p>
        </w:tc>
        <w:tc>
          <w:tcPr>
            <w:tcW w:w="548" w:type="pct"/>
            <w:vAlign w:val="center"/>
          </w:tcPr>
          <w:p w14:paraId="4ADDEC4B">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R</w:t>
            </w:r>
          </w:p>
        </w:tc>
        <w:tc>
          <w:tcPr>
            <w:tcW w:w="1294" w:type="pct"/>
            <w:vAlign w:val="center"/>
          </w:tcPr>
          <w:p w14:paraId="0D102EFA">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风险等级</w:t>
            </w:r>
          </w:p>
        </w:tc>
      </w:tr>
      <w:tr w14:paraId="132B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vAlign w:val="center"/>
          </w:tcPr>
          <w:p w14:paraId="1B7ACD7C">
            <w:pPr>
              <w:pStyle w:val="36"/>
              <w:bidi w:val="0"/>
              <w:ind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p>
        </w:tc>
        <w:tc>
          <w:tcPr>
            <w:tcW w:w="1633" w:type="pct"/>
            <w:vAlign w:val="center"/>
          </w:tcPr>
          <w:p w14:paraId="7F365762">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rPr>
              <w:t>火灾</w:t>
            </w:r>
          </w:p>
        </w:tc>
        <w:tc>
          <w:tcPr>
            <w:tcW w:w="460" w:type="pct"/>
            <w:vAlign w:val="center"/>
          </w:tcPr>
          <w:p w14:paraId="1BE5A36B">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426" w:type="pct"/>
            <w:vAlign w:val="center"/>
          </w:tcPr>
          <w:p w14:paraId="65BC072D">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vAlign w:val="center"/>
          </w:tcPr>
          <w:p w14:paraId="1D45A58D">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94" w:type="pct"/>
            <w:shd w:val="clear" w:color="auto" w:fill="E36C09" w:themeFill="accent6" w:themeFillShade="BF"/>
            <w:vAlign w:val="center"/>
          </w:tcPr>
          <w:p w14:paraId="34DC5670">
            <w:pPr>
              <w:pStyle w:val="36"/>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14:paraId="10ED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vAlign w:val="center"/>
          </w:tcPr>
          <w:p w14:paraId="2DBFE59F">
            <w:pPr>
              <w:pStyle w:val="36"/>
              <w:bidi w:val="0"/>
              <w:ind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w:t>
            </w:r>
          </w:p>
        </w:tc>
        <w:tc>
          <w:tcPr>
            <w:tcW w:w="1633" w:type="pct"/>
            <w:vAlign w:val="center"/>
          </w:tcPr>
          <w:p w14:paraId="3FB37E32">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爆炸</w:t>
            </w:r>
          </w:p>
        </w:tc>
        <w:tc>
          <w:tcPr>
            <w:tcW w:w="460" w:type="pct"/>
            <w:vAlign w:val="center"/>
          </w:tcPr>
          <w:p w14:paraId="44B73268">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426" w:type="pct"/>
            <w:vAlign w:val="center"/>
          </w:tcPr>
          <w:p w14:paraId="75E70660">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vAlign w:val="center"/>
          </w:tcPr>
          <w:p w14:paraId="19D9DDD7">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94" w:type="pct"/>
            <w:shd w:val="clear" w:color="auto" w:fill="E36C09" w:themeFill="accent6" w:themeFillShade="BF"/>
            <w:vAlign w:val="center"/>
          </w:tcPr>
          <w:p w14:paraId="3C5AECA2">
            <w:pPr>
              <w:pStyle w:val="36"/>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14:paraId="5A62F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vAlign w:val="center"/>
          </w:tcPr>
          <w:p w14:paraId="69A6DFA8">
            <w:pPr>
              <w:pStyle w:val="36"/>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3</w:t>
            </w:r>
          </w:p>
        </w:tc>
        <w:tc>
          <w:tcPr>
            <w:tcW w:w="1633" w:type="pct"/>
            <w:vAlign w:val="center"/>
          </w:tcPr>
          <w:p w14:paraId="594FF36D">
            <w:pPr>
              <w:pStyle w:val="36"/>
              <w:bidi w:val="0"/>
              <w:ind w:firstLine="0" w:firstLineChars="0"/>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其他伤害（踩踏事故）</w:t>
            </w:r>
          </w:p>
        </w:tc>
        <w:tc>
          <w:tcPr>
            <w:tcW w:w="460" w:type="pct"/>
            <w:vAlign w:val="center"/>
          </w:tcPr>
          <w:p w14:paraId="7EB1E40C">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426" w:type="pct"/>
            <w:vAlign w:val="center"/>
          </w:tcPr>
          <w:p w14:paraId="422FF88A">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5</w:t>
            </w:r>
          </w:p>
        </w:tc>
        <w:tc>
          <w:tcPr>
            <w:tcW w:w="548" w:type="pct"/>
            <w:vAlign w:val="center"/>
          </w:tcPr>
          <w:p w14:paraId="4A585E5D">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15</w:t>
            </w:r>
          </w:p>
        </w:tc>
        <w:tc>
          <w:tcPr>
            <w:tcW w:w="1294" w:type="pct"/>
            <w:shd w:val="clear" w:color="auto" w:fill="E36C09" w:themeFill="accent6" w:themeFillShade="BF"/>
            <w:vAlign w:val="center"/>
          </w:tcPr>
          <w:p w14:paraId="1BF08BA2">
            <w:pPr>
              <w:pStyle w:val="36"/>
              <w:bidi w:val="0"/>
              <w:ind w:firstLine="0" w:firstLineChars="0"/>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14:paraId="4A26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05D3DAE2">
            <w:pPr>
              <w:pStyle w:val="36"/>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4</w:t>
            </w:r>
          </w:p>
        </w:tc>
        <w:tc>
          <w:tcPr>
            <w:tcW w:w="1633" w:type="pct"/>
            <w:shd w:val="clear" w:color="auto" w:fill="auto"/>
            <w:vAlign w:val="center"/>
          </w:tcPr>
          <w:p w14:paraId="40D0C1EE">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rPr>
              <w:t>触电</w:t>
            </w:r>
          </w:p>
        </w:tc>
        <w:tc>
          <w:tcPr>
            <w:tcW w:w="460" w:type="pct"/>
            <w:shd w:val="clear" w:color="auto" w:fill="auto"/>
            <w:vAlign w:val="center"/>
          </w:tcPr>
          <w:p w14:paraId="1210D114">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6" w:type="pct"/>
            <w:shd w:val="clear" w:color="auto" w:fill="auto"/>
            <w:vAlign w:val="center"/>
          </w:tcPr>
          <w:p w14:paraId="45E5F186">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14:paraId="36CE770E">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4" w:type="pct"/>
            <w:shd w:val="clear" w:color="auto" w:fill="FFFF00"/>
            <w:vAlign w:val="center"/>
          </w:tcPr>
          <w:p w14:paraId="54EE76CB">
            <w:pPr>
              <w:pStyle w:val="36"/>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5593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4750D646">
            <w:pPr>
              <w:pStyle w:val="36"/>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5</w:t>
            </w:r>
          </w:p>
        </w:tc>
        <w:tc>
          <w:tcPr>
            <w:tcW w:w="1633" w:type="pct"/>
            <w:shd w:val="clear" w:color="auto" w:fill="auto"/>
            <w:vAlign w:val="center"/>
          </w:tcPr>
          <w:p w14:paraId="32031F64">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中毒</w:t>
            </w:r>
            <w:r>
              <w:rPr>
                <w:rFonts w:hint="eastAsia" w:ascii="宋体" w:hAnsi="宋体" w:eastAsia="宋体" w:cs="宋体"/>
                <w:color w:val="auto"/>
                <w:lang w:val="en-US" w:eastAsia="zh-CN"/>
              </w:rPr>
              <w:t>和</w:t>
            </w:r>
            <w:r>
              <w:rPr>
                <w:rFonts w:hint="eastAsia" w:ascii="宋体" w:hAnsi="宋体" w:eastAsia="宋体" w:cs="宋体"/>
                <w:color w:val="auto"/>
                <w:lang w:eastAsia="zh-CN"/>
              </w:rPr>
              <w:t>窒息</w:t>
            </w:r>
          </w:p>
        </w:tc>
        <w:tc>
          <w:tcPr>
            <w:tcW w:w="460" w:type="pct"/>
            <w:shd w:val="clear" w:color="auto" w:fill="auto"/>
            <w:vAlign w:val="center"/>
          </w:tcPr>
          <w:p w14:paraId="77088C9D">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6" w:type="pct"/>
            <w:shd w:val="clear" w:color="auto" w:fill="auto"/>
            <w:vAlign w:val="center"/>
          </w:tcPr>
          <w:p w14:paraId="7A290A9D">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14:paraId="40E85BD8">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4" w:type="pct"/>
            <w:shd w:val="clear" w:color="auto" w:fill="FFFF00"/>
            <w:vAlign w:val="center"/>
          </w:tcPr>
          <w:p w14:paraId="30330B71">
            <w:pPr>
              <w:pStyle w:val="36"/>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796A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16D27C89">
            <w:pPr>
              <w:pStyle w:val="36"/>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6</w:t>
            </w:r>
          </w:p>
        </w:tc>
        <w:tc>
          <w:tcPr>
            <w:tcW w:w="1633" w:type="pct"/>
            <w:shd w:val="clear" w:color="auto" w:fill="auto"/>
            <w:vAlign w:val="center"/>
          </w:tcPr>
          <w:p w14:paraId="13070AF0">
            <w:pPr>
              <w:pStyle w:val="36"/>
              <w:bidi w:val="0"/>
              <w:ind w:firstLine="0" w:firstLineChars="0"/>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车辆伤害</w:t>
            </w:r>
          </w:p>
        </w:tc>
        <w:tc>
          <w:tcPr>
            <w:tcW w:w="460" w:type="pct"/>
            <w:shd w:val="clear" w:color="auto" w:fill="auto"/>
            <w:vAlign w:val="center"/>
          </w:tcPr>
          <w:p w14:paraId="7C939B6E">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6" w:type="pct"/>
            <w:shd w:val="clear" w:color="auto" w:fill="auto"/>
            <w:vAlign w:val="center"/>
          </w:tcPr>
          <w:p w14:paraId="475BD076">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14:paraId="4F28CFC2">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4" w:type="pct"/>
            <w:shd w:val="clear" w:color="auto" w:fill="FFFF00"/>
            <w:vAlign w:val="center"/>
          </w:tcPr>
          <w:p w14:paraId="19FCCBFD">
            <w:pPr>
              <w:pStyle w:val="36"/>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369C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1CC725D2">
            <w:pPr>
              <w:pStyle w:val="36"/>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7</w:t>
            </w:r>
          </w:p>
        </w:tc>
        <w:tc>
          <w:tcPr>
            <w:tcW w:w="1633" w:type="pct"/>
            <w:shd w:val="clear" w:color="auto" w:fill="auto"/>
            <w:vAlign w:val="center"/>
          </w:tcPr>
          <w:p w14:paraId="3AF4DD98">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eastAsia="zh-CN"/>
              </w:rPr>
              <w:t>物体打击</w:t>
            </w:r>
          </w:p>
        </w:tc>
        <w:tc>
          <w:tcPr>
            <w:tcW w:w="460" w:type="pct"/>
            <w:shd w:val="clear" w:color="auto" w:fill="auto"/>
            <w:vAlign w:val="center"/>
          </w:tcPr>
          <w:p w14:paraId="44D25844">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6" w:type="pct"/>
            <w:shd w:val="clear" w:color="auto" w:fill="auto"/>
            <w:vAlign w:val="center"/>
          </w:tcPr>
          <w:p w14:paraId="4FE7B1EC">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14:paraId="0D165EA6">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4" w:type="pct"/>
            <w:shd w:val="clear" w:color="auto" w:fill="0070C0"/>
            <w:vAlign w:val="center"/>
          </w:tcPr>
          <w:p w14:paraId="1551EA88">
            <w:pPr>
              <w:pStyle w:val="36"/>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1CB4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336477ED">
            <w:pPr>
              <w:pStyle w:val="36"/>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8</w:t>
            </w:r>
          </w:p>
        </w:tc>
        <w:tc>
          <w:tcPr>
            <w:tcW w:w="1633" w:type="pct"/>
            <w:shd w:val="clear" w:color="auto" w:fill="auto"/>
            <w:vAlign w:val="center"/>
          </w:tcPr>
          <w:p w14:paraId="2805675D">
            <w:pPr>
              <w:pStyle w:val="36"/>
              <w:bidi w:val="0"/>
              <w:ind w:firstLine="0" w:firstLineChars="0"/>
              <w:rPr>
                <w:rFonts w:hint="eastAsia" w:ascii="宋体" w:hAnsi="宋体" w:eastAsia="宋体" w:cs="宋体"/>
                <w:color w:val="auto"/>
                <w:kern w:val="2"/>
                <w:sz w:val="24"/>
                <w:szCs w:val="24"/>
                <w:lang w:val="en-US" w:eastAsia="zh-CN" w:bidi="ar-SA"/>
              </w:rPr>
            </w:pPr>
            <w:r>
              <w:rPr>
                <w:rFonts w:hint="eastAsia"/>
                <w:color w:val="auto"/>
                <w:lang w:eastAsia="zh-CN"/>
              </w:rPr>
              <w:t>高处坠落</w:t>
            </w:r>
          </w:p>
        </w:tc>
        <w:tc>
          <w:tcPr>
            <w:tcW w:w="460" w:type="pct"/>
            <w:shd w:val="clear" w:color="auto" w:fill="auto"/>
            <w:vAlign w:val="center"/>
          </w:tcPr>
          <w:p w14:paraId="0342E108">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6" w:type="pct"/>
            <w:shd w:val="clear" w:color="auto" w:fill="auto"/>
            <w:vAlign w:val="center"/>
          </w:tcPr>
          <w:p w14:paraId="7F0C05BA">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14:paraId="3A4667BB">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4" w:type="pct"/>
            <w:shd w:val="clear" w:color="auto" w:fill="0070C0"/>
            <w:vAlign w:val="center"/>
          </w:tcPr>
          <w:p w14:paraId="07F60684">
            <w:pPr>
              <w:pStyle w:val="36"/>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7220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574E3177">
            <w:pPr>
              <w:pStyle w:val="36"/>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9</w:t>
            </w:r>
          </w:p>
        </w:tc>
        <w:tc>
          <w:tcPr>
            <w:tcW w:w="1633" w:type="pct"/>
            <w:shd w:val="clear" w:color="auto" w:fill="auto"/>
            <w:vAlign w:val="center"/>
          </w:tcPr>
          <w:p w14:paraId="5A6B55E9">
            <w:pPr>
              <w:pStyle w:val="36"/>
              <w:bidi w:val="0"/>
              <w:ind w:firstLine="0" w:firstLineChars="0"/>
              <w:rPr>
                <w:rFonts w:hint="eastAsia" w:ascii="宋体" w:hAnsi="宋体" w:eastAsia="宋体" w:cs="宋体"/>
                <w:color w:val="auto"/>
                <w:kern w:val="2"/>
                <w:sz w:val="24"/>
                <w:szCs w:val="24"/>
                <w:lang w:val="en-US" w:eastAsia="zh-CN" w:bidi="ar-SA"/>
              </w:rPr>
            </w:pPr>
            <w:r>
              <w:rPr>
                <w:rFonts w:hint="eastAsia"/>
                <w:color w:val="auto"/>
                <w:lang w:val="en-US" w:eastAsia="zh-CN"/>
              </w:rPr>
              <w:t>灼伤</w:t>
            </w:r>
          </w:p>
        </w:tc>
        <w:tc>
          <w:tcPr>
            <w:tcW w:w="460" w:type="pct"/>
            <w:shd w:val="clear" w:color="auto" w:fill="auto"/>
            <w:vAlign w:val="center"/>
          </w:tcPr>
          <w:p w14:paraId="01259E73">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6" w:type="pct"/>
            <w:shd w:val="clear" w:color="auto" w:fill="auto"/>
            <w:vAlign w:val="center"/>
          </w:tcPr>
          <w:p w14:paraId="666E4DE5">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548" w:type="pct"/>
            <w:shd w:val="clear" w:color="auto" w:fill="auto"/>
            <w:vAlign w:val="center"/>
          </w:tcPr>
          <w:p w14:paraId="2C8E81B0">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6</w:t>
            </w:r>
          </w:p>
        </w:tc>
        <w:tc>
          <w:tcPr>
            <w:tcW w:w="1294" w:type="pct"/>
            <w:shd w:val="clear" w:color="auto" w:fill="0070C0"/>
            <w:vAlign w:val="center"/>
          </w:tcPr>
          <w:p w14:paraId="3D5B94EC">
            <w:pPr>
              <w:pStyle w:val="36"/>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11B9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3B972E76">
            <w:pPr>
              <w:pStyle w:val="36"/>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1</w:t>
            </w:r>
            <w:r>
              <w:rPr>
                <w:rFonts w:hint="eastAsia" w:ascii="宋体" w:hAnsi="宋体" w:cs="宋体"/>
                <w:color w:val="auto"/>
                <w:sz w:val="24"/>
                <w:szCs w:val="24"/>
                <w:lang w:val="en-US" w:eastAsia="zh-CN"/>
              </w:rPr>
              <w:t>0</w:t>
            </w:r>
          </w:p>
        </w:tc>
        <w:tc>
          <w:tcPr>
            <w:tcW w:w="1633" w:type="pct"/>
            <w:shd w:val="clear" w:color="auto" w:fill="auto"/>
            <w:vAlign w:val="center"/>
          </w:tcPr>
          <w:p w14:paraId="0DAB6B28">
            <w:pPr>
              <w:pStyle w:val="36"/>
              <w:bidi w:val="0"/>
              <w:ind w:firstLine="0" w:firstLineChars="0"/>
              <w:rPr>
                <w:rFonts w:hint="eastAsia" w:ascii="宋体" w:hAnsi="宋体" w:eastAsia="宋体" w:cs="宋体"/>
                <w:color w:val="auto"/>
                <w:sz w:val="24"/>
                <w:szCs w:val="24"/>
              </w:rPr>
            </w:pPr>
            <w:r>
              <w:rPr>
                <w:rFonts w:hint="eastAsia"/>
                <w:color w:val="auto"/>
                <w:lang w:val="en-US" w:eastAsia="zh-CN"/>
              </w:rPr>
              <w:t>淹溺</w:t>
            </w:r>
          </w:p>
        </w:tc>
        <w:tc>
          <w:tcPr>
            <w:tcW w:w="460" w:type="pct"/>
            <w:shd w:val="clear" w:color="auto" w:fill="auto"/>
            <w:vAlign w:val="center"/>
          </w:tcPr>
          <w:p w14:paraId="4E31E8E4">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6" w:type="pct"/>
            <w:shd w:val="clear" w:color="auto" w:fill="auto"/>
            <w:vAlign w:val="center"/>
          </w:tcPr>
          <w:p w14:paraId="644A9555">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48" w:type="pct"/>
            <w:shd w:val="clear" w:color="auto" w:fill="auto"/>
            <w:vAlign w:val="center"/>
          </w:tcPr>
          <w:p w14:paraId="1A3CD3C0">
            <w:pPr>
              <w:pStyle w:val="36"/>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4</w:t>
            </w:r>
          </w:p>
        </w:tc>
        <w:tc>
          <w:tcPr>
            <w:tcW w:w="1294" w:type="pct"/>
            <w:shd w:val="clear" w:color="auto" w:fill="0070C0"/>
            <w:vAlign w:val="center"/>
          </w:tcPr>
          <w:p w14:paraId="47DAF843">
            <w:pPr>
              <w:pStyle w:val="36"/>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450C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5668B174">
            <w:pPr>
              <w:pStyle w:val="36"/>
              <w:bidi w:val="0"/>
              <w:ind w:firstLine="0" w:firstLineChars="0"/>
              <w:jc w:val="center"/>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11</w:t>
            </w:r>
          </w:p>
        </w:tc>
        <w:tc>
          <w:tcPr>
            <w:tcW w:w="1633" w:type="pct"/>
            <w:shd w:val="clear" w:color="auto" w:fill="auto"/>
            <w:vAlign w:val="center"/>
          </w:tcPr>
          <w:p w14:paraId="570652AA">
            <w:pPr>
              <w:pStyle w:val="36"/>
              <w:bidi w:val="0"/>
              <w:ind w:firstLine="0" w:firstLineChars="0"/>
              <w:rPr>
                <w:rFonts w:hint="default"/>
                <w:color w:val="auto"/>
                <w:lang w:val="en-US" w:eastAsia="zh-CN"/>
              </w:rPr>
            </w:pPr>
            <w:r>
              <w:rPr>
                <w:rFonts w:hint="eastAsia"/>
                <w:color w:val="auto"/>
                <w:lang w:val="en-US" w:eastAsia="zh-CN"/>
              </w:rPr>
              <w:t>起重伤害</w:t>
            </w:r>
          </w:p>
        </w:tc>
        <w:tc>
          <w:tcPr>
            <w:tcW w:w="460" w:type="pct"/>
            <w:shd w:val="clear" w:color="auto" w:fill="auto"/>
            <w:vAlign w:val="center"/>
          </w:tcPr>
          <w:p w14:paraId="264F1AD7">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6" w:type="pct"/>
            <w:shd w:val="clear" w:color="auto" w:fill="auto"/>
            <w:vAlign w:val="center"/>
          </w:tcPr>
          <w:p w14:paraId="4710A2F2">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14:paraId="70780601">
            <w:pPr>
              <w:pStyle w:val="36"/>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4" w:type="pct"/>
            <w:shd w:val="clear" w:color="auto" w:fill="0070C0"/>
            <w:vAlign w:val="center"/>
          </w:tcPr>
          <w:p w14:paraId="0E043B83">
            <w:pPr>
              <w:pStyle w:val="36"/>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272B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637" w:type="pct"/>
            <w:shd w:val="clear" w:color="auto" w:fill="auto"/>
            <w:vAlign w:val="center"/>
          </w:tcPr>
          <w:p w14:paraId="51D513A1">
            <w:pPr>
              <w:pStyle w:val="36"/>
              <w:bidi w:val="0"/>
              <w:ind w:firstLine="0" w:firstLineChars="0"/>
              <w:jc w:val="center"/>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12</w:t>
            </w:r>
          </w:p>
        </w:tc>
        <w:tc>
          <w:tcPr>
            <w:tcW w:w="1633" w:type="pct"/>
            <w:shd w:val="clear" w:color="auto" w:fill="auto"/>
            <w:vAlign w:val="center"/>
          </w:tcPr>
          <w:p w14:paraId="0E1C5D15">
            <w:pPr>
              <w:pStyle w:val="36"/>
              <w:bidi w:val="0"/>
              <w:ind w:firstLine="0" w:firstLineChars="0"/>
              <w:rPr>
                <w:rFonts w:hint="eastAsia"/>
                <w:color w:val="auto"/>
                <w:lang w:val="en-US" w:eastAsia="zh-CN"/>
              </w:rPr>
            </w:pPr>
            <w:r>
              <w:rPr>
                <w:rFonts w:hint="eastAsia"/>
                <w:color w:val="auto"/>
                <w:lang w:val="en-US" w:eastAsia="zh-CN"/>
              </w:rPr>
              <w:t>机械伤害</w:t>
            </w:r>
          </w:p>
        </w:tc>
        <w:tc>
          <w:tcPr>
            <w:tcW w:w="460" w:type="pct"/>
            <w:shd w:val="clear" w:color="auto" w:fill="auto"/>
            <w:vAlign w:val="center"/>
          </w:tcPr>
          <w:p w14:paraId="03460836">
            <w:pPr>
              <w:pStyle w:val="36"/>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2</w:t>
            </w:r>
          </w:p>
        </w:tc>
        <w:tc>
          <w:tcPr>
            <w:tcW w:w="426" w:type="pct"/>
            <w:shd w:val="clear" w:color="auto" w:fill="auto"/>
            <w:vAlign w:val="center"/>
          </w:tcPr>
          <w:p w14:paraId="242B660C">
            <w:pPr>
              <w:pStyle w:val="36"/>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3</w:t>
            </w:r>
          </w:p>
        </w:tc>
        <w:tc>
          <w:tcPr>
            <w:tcW w:w="548" w:type="pct"/>
            <w:shd w:val="clear" w:color="auto" w:fill="auto"/>
            <w:vAlign w:val="center"/>
          </w:tcPr>
          <w:p w14:paraId="5E3A689F">
            <w:pPr>
              <w:pStyle w:val="36"/>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6</w:t>
            </w:r>
          </w:p>
        </w:tc>
        <w:tc>
          <w:tcPr>
            <w:tcW w:w="1294" w:type="pct"/>
            <w:shd w:val="clear" w:color="auto" w:fill="0070C0"/>
            <w:vAlign w:val="center"/>
          </w:tcPr>
          <w:p w14:paraId="1CB1125D">
            <w:pPr>
              <w:pStyle w:val="36"/>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bl>
    <w:p w14:paraId="22AA0340">
      <w:pPr>
        <w:pStyle w:val="3"/>
        <w:bidi w:val="0"/>
        <w:rPr>
          <w:rFonts w:hint="default"/>
          <w:color w:val="auto"/>
          <w:lang w:val="en-US" w:eastAsia="zh-CN"/>
        </w:rPr>
      </w:pPr>
      <w:bookmarkStart w:id="36" w:name="_Toc23540"/>
      <w:r>
        <w:rPr>
          <w:rFonts w:hint="eastAsia"/>
          <w:color w:val="auto"/>
          <w:lang w:val="en-US" w:eastAsia="zh-CN"/>
        </w:rPr>
        <w:t>结论及建议</w:t>
      </w:r>
      <w:bookmarkEnd w:id="36"/>
    </w:p>
    <w:p w14:paraId="4D330FB7">
      <w:pPr>
        <w:pStyle w:val="4"/>
        <w:bidi w:val="0"/>
        <w:rPr>
          <w:rFonts w:hint="eastAsia"/>
          <w:color w:val="auto"/>
          <w:lang w:val="en-US" w:eastAsia="zh-CN"/>
        </w:rPr>
      </w:pPr>
      <w:bookmarkStart w:id="37" w:name="_Toc20104"/>
      <w:r>
        <w:rPr>
          <w:rFonts w:hint="eastAsia"/>
          <w:color w:val="auto"/>
          <w:lang w:val="en-US" w:eastAsia="zh-CN"/>
        </w:rPr>
        <w:t>结论</w:t>
      </w:r>
      <w:bookmarkEnd w:id="37"/>
    </w:p>
    <w:p w14:paraId="3AC77A42">
      <w:pPr>
        <w:ind w:firstLine="655"/>
        <w:rPr>
          <w:color w:val="auto"/>
        </w:rPr>
      </w:pPr>
      <w:r>
        <w:rPr>
          <w:rFonts w:hint="eastAsia"/>
          <w:color w:val="auto"/>
        </w:rPr>
        <w:t>本评估报告结论依据《生产安全事故应急预案管理办法》（中华人民共和国应急管理部令第2号）《</w:t>
      </w:r>
      <w:r>
        <w:rPr>
          <w:rFonts w:hint="eastAsia"/>
          <w:color w:val="auto"/>
          <w:lang w:eastAsia="zh-CN"/>
        </w:rPr>
        <w:t>生产经营过程</w:t>
      </w:r>
      <w:r>
        <w:rPr>
          <w:rFonts w:hint="eastAsia"/>
          <w:color w:val="auto"/>
        </w:rPr>
        <w:t>危险和有害因素分类与代码》（GB/T13861-2022）和《企业职工伤亡事故分类》（GB/T6441-1986）等国家</w:t>
      </w:r>
      <w:r>
        <w:rPr>
          <w:rFonts w:hint="eastAsia"/>
          <w:color w:val="auto"/>
          <w:lang w:eastAsia="zh-CN"/>
        </w:rPr>
        <w:t>法律法规</w:t>
      </w:r>
      <w:r>
        <w:rPr>
          <w:rFonts w:hint="eastAsia"/>
          <w:color w:val="auto"/>
        </w:rPr>
        <w:t>及国家、行业规范标准，对</w:t>
      </w:r>
      <w:r>
        <w:rPr>
          <w:rFonts w:hint="eastAsia"/>
          <w:color w:val="auto"/>
          <w:lang w:val="en-US" w:eastAsia="zh-CN"/>
        </w:rPr>
        <w:t>酒店</w:t>
      </w:r>
      <w:r>
        <w:rPr>
          <w:rFonts w:hint="eastAsia"/>
          <w:color w:val="auto"/>
        </w:rPr>
        <w:t>生产安全事故风险进行分析，得出以下评估结论：</w:t>
      </w:r>
    </w:p>
    <w:p w14:paraId="288AB932">
      <w:pPr>
        <w:bidi w:val="0"/>
        <w:rPr>
          <w:color w:val="auto"/>
        </w:rPr>
      </w:pPr>
      <w:r>
        <w:rPr>
          <w:rFonts w:hint="eastAsia"/>
          <w:color w:val="auto"/>
          <w:lang w:val="en-US" w:eastAsia="zh-CN"/>
        </w:rPr>
        <w:t>酒店</w:t>
      </w:r>
      <w:r>
        <w:rPr>
          <w:rFonts w:hint="eastAsia"/>
          <w:color w:val="auto"/>
        </w:rPr>
        <w:t>在</w:t>
      </w:r>
      <w:r>
        <w:rPr>
          <w:rFonts w:hint="eastAsia"/>
          <w:color w:val="auto"/>
          <w:lang w:val="en-US" w:eastAsia="zh-CN"/>
        </w:rPr>
        <w:t>生产经营过程</w:t>
      </w:r>
      <w:r>
        <w:rPr>
          <w:rFonts w:hint="eastAsia"/>
          <w:color w:val="auto"/>
        </w:rPr>
        <w:t>中主要可能发生的较大风险事故类型为：火灾、爆炸</w:t>
      </w:r>
      <w:r>
        <w:rPr>
          <w:rFonts w:hint="eastAsia"/>
          <w:color w:val="auto"/>
          <w:lang w:eastAsia="zh-CN"/>
        </w:rPr>
        <w:t>、</w:t>
      </w:r>
      <w:r>
        <w:rPr>
          <w:rFonts w:hint="eastAsia"/>
          <w:color w:val="auto"/>
          <w:lang w:val="en-US" w:eastAsia="zh-CN"/>
        </w:rPr>
        <w:t>其他伤害（踩踏事故）</w:t>
      </w:r>
      <w:r>
        <w:rPr>
          <w:rFonts w:hint="eastAsia"/>
          <w:color w:val="auto"/>
        </w:rPr>
        <w:t>；一般风险事故类型为：</w:t>
      </w:r>
      <w:r>
        <w:rPr>
          <w:rFonts w:hint="eastAsia"/>
          <w:color w:val="auto"/>
          <w:lang w:val="en-US" w:eastAsia="zh-CN"/>
        </w:rPr>
        <w:t>触电、</w:t>
      </w:r>
      <w:r>
        <w:rPr>
          <w:rFonts w:hint="eastAsia"/>
          <w:color w:val="auto"/>
          <w:lang w:eastAsia="zh-CN"/>
        </w:rPr>
        <w:t>中毒和窒息、</w:t>
      </w:r>
      <w:r>
        <w:rPr>
          <w:rFonts w:hint="eastAsia"/>
          <w:color w:val="auto"/>
          <w:lang w:val="en-US" w:eastAsia="zh-CN"/>
        </w:rPr>
        <w:t>车辆伤害</w:t>
      </w:r>
      <w:r>
        <w:rPr>
          <w:rFonts w:hint="eastAsia"/>
          <w:color w:val="auto"/>
        </w:rPr>
        <w:t>；低风险事故类型为：</w:t>
      </w:r>
      <w:r>
        <w:rPr>
          <w:rFonts w:hint="eastAsia"/>
          <w:color w:val="auto"/>
          <w:lang w:eastAsia="zh-CN"/>
        </w:rPr>
        <w:t>物体打击、高处坠落、</w:t>
      </w:r>
      <w:r>
        <w:rPr>
          <w:rFonts w:hint="eastAsia"/>
          <w:color w:val="auto"/>
          <w:lang w:val="en-US" w:eastAsia="zh-CN"/>
        </w:rPr>
        <w:t>灼伤、淹溺、起重伤害、机械伤害</w:t>
      </w:r>
      <w:r>
        <w:rPr>
          <w:rFonts w:hint="eastAsia"/>
          <w:color w:val="auto"/>
        </w:rPr>
        <w:t>，引起事故的主要原因是设备设施故障、电缆线路老化、人员违规操作、安全管理不到位。</w:t>
      </w:r>
    </w:p>
    <w:p w14:paraId="6D07B77B">
      <w:pPr>
        <w:pStyle w:val="4"/>
        <w:ind w:firstLine="655"/>
        <w:rPr>
          <w:color w:val="auto"/>
        </w:rPr>
      </w:pPr>
      <w:bookmarkStart w:id="38" w:name="_Toc2890"/>
      <w:bookmarkStart w:id="39" w:name="_Toc32445"/>
      <w:bookmarkStart w:id="40" w:name="_Toc30237"/>
      <w:bookmarkStart w:id="41" w:name="_Toc19676"/>
      <w:bookmarkStart w:id="42" w:name="_Toc8470"/>
      <w:r>
        <w:rPr>
          <w:rFonts w:hint="eastAsia"/>
          <w:color w:val="auto"/>
        </w:rPr>
        <w:t>建议</w:t>
      </w:r>
      <w:bookmarkEnd w:id="38"/>
      <w:bookmarkEnd w:id="39"/>
      <w:bookmarkEnd w:id="40"/>
      <w:bookmarkEnd w:id="41"/>
      <w:bookmarkEnd w:id="42"/>
    </w:p>
    <w:p w14:paraId="20F0F442">
      <w:pPr>
        <w:bidi w:val="0"/>
        <w:rPr>
          <w:rFonts w:hint="eastAsia"/>
          <w:color w:val="auto"/>
          <w:lang w:eastAsia="zh-CN"/>
        </w:rPr>
      </w:pPr>
      <w:r>
        <w:rPr>
          <w:rFonts w:hint="eastAsia"/>
          <w:color w:val="auto"/>
        </w:rPr>
        <w:t>因此，</w:t>
      </w:r>
      <w:r>
        <w:rPr>
          <w:rFonts w:hint="eastAsia"/>
          <w:color w:val="auto"/>
          <w:lang w:val="en-US" w:eastAsia="zh-CN"/>
        </w:rPr>
        <w:t>酒店</w:t>
      </w:r>
      <w:r>
        <w:rPr>
          <w:rFonts w:hint="eastAsia"/>
          <w:color w:val="auto"/>
        </w:rPr>
        <w:t>应重点防范的生产安全事故为：火灾、爆炸</w:t>
      </w:r>
      <w:r>
        <w:rPr>
          <w:rFonts w:hint="eastAsia"/>
          <w:color w:val="auto"/>
          <w:lang w:eastAsia="zh-CN"/>
        </w:rPr>
        <w:t>、其他伤害（踩踏事故）</w:t>
      </w:r>
      <w:r>
        <w:rPr>
          <w:rFonts w:hint="eastAsia"/>
          <w:color w:val="auto"/>
        </w:rPr>
        <w:t>。建议</w:t>
      </w:r>
      <w:r>
        <w:rPr>
          <w:rFonts w:hint="eastAsia"/>
          <w:color w:val="auto"/>
          <w:lang w:val="en-US" w:eastAsia="zh-CN"/>
        </w:rPr>
        <w:t>酒店</w:t>
      </w:r>
      <w:r>
        <w:rPr>
          <w:rFonts w:hint="eastAsia"/>
          <w:color w:val="auto"/>
        </w:rPr>
        <w:t>应针对火灾、爆炸</w:t>
      </w:r>
      <w:r>
        <w:rPr>
          <w:rFonts w:hint="eastAsia"/>
          <w:color w:val="auto"/>
          <w:lang w:eastAsia="zh-CN"/>
        </w:rPr>
        <w:t>、其他伤害</w:t>
      </w:r>
      <w:r>
        <w:rPr>
          <w:rFonts w:hint="eastAsia"/>
          <w:color w:val="auto"/>
          <w:lang w:val="en-US" w:eastAsia="zh-CN"/>
        </w:rPr>
        <w:t>踩踏事故</w:t>
      </w:r>
      <w:r>
        <w:rPr>
          <w:rFonts w:hint="eastAsia"/>
          <w:color w:val="auto"/>
        </w:rPr>
        <w:t>制定有针对性的专项应急预案，并针对其他事故类型制定现场处置方案。</w:t>
      </w:r>
    </w:p>
    <w:sectPr>
      <w:footerReference r:id="rId11" w:type="default"/>
      <w:pgSz w:w="11906" w:h="16838"/>
      <w:pgMar w:top="2098" w:right="1474" w:bottom="1984" w:left="1587" w:header="1134" w:footer="1020" w:gutter="0"/>
      <w:pgNumType w:start="1"/>
      <w:cols w:space="0" w:num="1"/>
      <w:docGrid w:type="linesAndChars" w:linePitch="589" w:charSpace="15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54"/>
      </w:pPr>
      <w:r>
        <w:separator/>
      </w:r>
    </w:p>
  </w:endnote>
  <w:endnote w:type="continuationSeparator" w:id="1">
    <w:p>
      <w:pPr>
        <w:ind w:firstLine="65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555AEF1-CB66-4B89-924F-B8913980638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74C1AFAC-188B-4791-AE97-378C8C1A465B}"/>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embedRegular r:id="rId3" w:fontKey="{A65585EB-E605-46A6-A8CD-A0FD9821210C}"/>
  </w:font>
  <w:font w:name="Microsoft JhengHei">
    <w:panose1 w:val="020B0604030504040204"/>
    <w:charset w:val="88"/>
    <w:family w:val="swiss"/>
    <w:pitch w:val="default"/>
    <w:sig w:usb0="000002A7" w:usb1="28CF4400" w:usb2="00000016" w:usb3="00000000" w:csb0="00100009" w:csb1="00000000"/>
    <w:embedRegular r:id="rId4" w:fontKey="{77F34344-FCD2-4795-91C1-B089F7EBBC88}"/>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7D2EE">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A13FE">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53662">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A34C">
    <w:pPr>
      <w:pStyle w:val="19"/>
    </w:pPr>
    <w: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path/>
          <v:fill on="f" focussize="0,0"/>
          <v:stroke on="f" weight="0.5pt" joinstyle="miter"/>
          <v:imagedata o:title=""/>
          <o:lock v:ext="edit"/>
          <v:textbox inset="0mm,0mm,0mm,0mm" style="mso-fit-shape-to-text:t;">
            <w:txbxContent>
              <w:p w14:paraId="090F3D8A">
                <w:pPr>
                  <w:pStyle w:val="19"/>
                </w:pPr>
                <w:r>
                  <w:fldChar w:fldCharType="begin"/>
                </w:r>
                <w:r>
                  <w:instrText xml:space="preserve"> PAGE  \* MERGEFORMAT </w:instrText>
                </w:r>
                <w:r>
                  <w:fldChar w:fldCharType="separate"/>
                </w:r>
                <w:r>
                  <w:t>19</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54"/>
      </w:pPr>
      <w:r>
        <w:separator/>
      </w:r>
    </w:p>
  </w:footnote>
  <w:footnote w:type="continuationSeparator" w:id="1">
    <w:p>
      <w:pPr>
        <w:ind w:firstLine="65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3610E">
    <w:pPr>
      <w:spacing w:line="14" w:lineRule="auto"/>
      <w:ind w:firstLine="40"/>
      <w:rPr>
        <w:rFonts w:ascii="Microsoft JhengHei" w:eastAsia="Microsoft JhengHei"/>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8A45B">
    <w:pPr>
      <w:pStyle w:val="20"/>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266A3">
    <w:pPr>
      <w:pStyle w:val="20"/>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08393"/>
    <w:multiLevelType w:val="singleLevel"/>
    <w:tmpl w:val="82A08393"/>
    <w:lvl w:ilvl="0" w:tentative="0">
      <w:start w:val="1"/>
      <w:numFmt w:val="decimal"/>
      <w:suff w:val="nothing"/>
      <w:lvlText w:val="（%1）"/>
      <w:lvlJc w:val="left"/>
    </w:lvl>
  </w:abstractNum>
  <w:abstractNum w:abstractNumId="1">
    <w:nsid w:val="847FAC8A"/>
    <w:multiLevelType w:val="singleLevel"/>
    <w:tmpl w:val="847FAC8A"/>
    <w:lvl w:ilvl="0" w:tentative="0">
      <w:start w:val="1"/>
      <w:numFmt w:val="decimal"/>
      <w:suff w:val="nothing"/>
      <w:lvlText w:val="（%1）"/>
      <w:lvlJc w:val="left"/>
      <w:rPr>
        <w:rFonts w:hint="default"/>
        <w:b w:val="0"/>
        <w:bCs w:val="0"/>
      </w:rPr>
    </w:lvl>
  </w:abstractNum>
  <w:abstractNum w:abstractNumId="2">
    <w:nsid w:val="CE05DE57"/>
    <w:multiLevelType w:val="singleLevel"/>
    <w:tmpl w:val="CE05DE57"/>
    <w:lvl w:ilvl="0" w:tentative="0">
      <w:start w:val="1"/>
      <w:numFmt w:val="decimal"/>
      <w:suff w:val="nothing"/>
      <w:lvlText w:val="（%1）"/>
      <w:lvlJc w:val="left"/>
    </w:lvl>
  </w:abstractNum>
  <w:abstractNum w:abstractNumId="3">
    <w:nsid w:val="E52E80E9"/>
    <w:multiLevelType w:val="singleLevel"/>
    <w:tmpl w:val="E52E80E9"/>
    <w:lvl w:ilvl="0" w:tentative="0">
      <w:start w:val="4"/>
      <w:numFmt w:val="decimal"/>
      <w:suff w:val="nothing"/>
      <w:lvlText w:val="（%1）"/>
      <w:lvlJc w:val="left"/>
    </w:lvl>
  </w:abstractNum>
  <w:abstractNum w:abstractNumId="4">
    <w:nsid w:val="E6CFDB07"/>
    <w:multiLevelType w:val="singleLevel"/>
    <w:tmpl w:val="E6CFDB07"/>
    <w:lvl w:ilvl="0" w:tentative="0">
      <w:start w:val="1"/>
      <w:numFmt w:val="decimal"/>
      <w:suff w:val="nothing"/>
      <w:lvlText w:val="（%1）"/>
      <w:lvlJc w:val="left"/>
    </w:lvl>
  </w:abstractNum>
  <w:abstractNum w:abstractNumId="5">
    <w:nsid w:val="FCDFE865"/>
    <w:multiLevelType w:val="multilevel"/>
    <w:tmpl w:val="FCDFE865"/>
    <w:lvl w:ilvl="0" w:tentative="0">
      <w:start w:val="1"/>
      <w:numFmt w:val="decimal"/>
      <w:pStyle w:val="3"/>
      <w:suff w:val="nothing"/>
      <w:lvlText w:val="%1  "/>
      <w:lvlJc w:val="left"/>
      <w:pPr>
        <w:tabs>
          <w:tab w:val="left" w:pos="0"/>
        </w:tabs>
        <w:ind w:left="0" w:firstLine="0"/>
      </w:pPr>
      <w:rPr>
        <w:rFonts w:hint="default" w:ascii="黑体" w:hAnsi="黑体" w:eastAsia="宋体" w:cs="宋体"/>
        <w:b w:val="0"/>
        <w:sz w:val="32"/>
      </w:rPr>
    </w:lvl>
    <w:lvl w:ilvl="1" w:tentative="0">
      <w:start w:val="1"/>
      <w:numFmt w:val="decimal"/>
      <w:pStyle w:val="4"/>
      <w:suff w:val="nothing"/>
      <w:lvlText w:val="%1.%2  "/>
      <w:lvlJc w:val="left"/>
      <w:pPr>
        <w:tabs>
          <w:tab w:val="left" w:pos="0"/>
        </w:tabs>
        <w:ind w:left="0" w:firstLine="0"/>
      </w:pPr>
      <w:rPr>
        <w:rFonts w:hint="default" w:ascii="Times New Roman" w:hAnsi="Times New Roman" w:eastAsia="宋体" w:cs="宋体"/>
        <w:sz w:val="32"/>
        <w:szCs w:val="32"/>
      </w:rPr>
    </w:lvl>
    <w:lvl w:ilvl="2" w:tentative="0">
      <w:start w:val="1"/>
      <w:numFmt w:val="decimal"/>
      <w:pStyle w:val="5"/>
      <w:suff w:val="nothing"/>
      <w:lvlText w:val="%1.%2.%3  "/>
      <w:lvlJc w:val="left"/>
      <w:pPr>
        <w:tabs>
          <w:tab w:val="left" w:pos="0"/>
        </w:tabs>
        <w:ind w:left="0" w:firstLine="0"/>
      </w:pPr>
      <w:rPr>
        <w:rFonts w:hint="default" w:ascii="Times New Roman" w:hAnsi="Times New Roman" w:eastAsia="宋体" w:cs="宋体"/>
        <w:sz w:val="32"/>
      </w:rPr>
    </w:lvl>
    <w:lvl w:ilvl="3" w:tentative="0">
      <w:start w:val="1"/>
      <w:numFmt w:val="decimal"/>
      <w:pStyle w:val="6"/>
      <w:suff w:val="nothing"/>
      <w:lvlText w:val="%1.%2.%3.%4  "/>
      <w:lvlJc w:val="left"/>
      <w:pPr>
        <w:tabs>
          <w:tab w:val="left" w:pos="0"/>
        </w:tabs>
        <w:ind w:left="0" w:firstLine="0"/>
      </w:pPr>
      <w:rPr>
        <w:rFonts w:hint="default" w:ascii="Times New Roman" w:hAnsi="Times New Roman" w:eastAsia="宋体" w:cs="宋体"/>
        <w:sz w:val="32"/>
      </w:rPr>
    </w:lvl>
    <w:lvl w:ilvl="4" w:tentative="0">
      <w:start w:val="1"/>
      <w:numFmt w:val="decima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6">
    <w:nsid w:val="0B5BDF80"/>
    <w:multiLevelType w:val="singleLevel"/>
    <w:tmpl w:val="0B5BDF80"/>
    <w:lvl w:ilvl="0" w:tentative="0">
      <w:start w:val="1"/>
      <w:numFmt w:val="decimal"/>
      <w:suff w:val="nothing"/>
      <w:lvlText w:val="（%1）"/>
      <w:lvlJc w:val="left"/>
    </w:lvl>
  </w:abstractNum>
  <w:abstractNum w:abstractNumId="7">
    <w:nsid w:val="1FDFB8C5"/>
    <w:multiLevelType w:val="singleLevel"/>
    <w:tmpl w:val="1FDFB8C5"/>
    <w:lvl w:ilvl="0" w:tentative="0">
      <w:start w:val="1"/>
      <w:numFmt w:val="decimal"/>
      <w:suff w:val="nothing"/>
      <w:lvlText w:val="（%1）"/>
      <w:lvlJc w:val="left"/>
    </w:lvl>
  </w:abstractNum>
  <w:abstractNum w:abstractNumId="8">
    <w:nsid w:val="74A2DB08"/>
    <w:multiLevelType w:val="singleLevel"/>
    <w:tmpl w:val="74A2DB08"/>
    <w:lvl w:ilvl="0" w:tentative="0">
      <w:start w:val="1"/>
      <w:numFmt w:val="decimal"/>
      <w:suff w:val="nothing"/>
      <w:lvlText w:val="（%1）"/>
      <w:lvlJc w:val="left"/>
    </w:lvl>
  </w:abstractNum>
  <w:num w:numId="1">
    <w:abstractNumId w:val="5"/>
  </w:num>
  <w:num w:numId="2">
    <w:abstractNumId w:val="4"/>
  </w:num>
  <w:num w:numId="3">
    <w:abstractNumId w:val="8"/>
  </w:num>
  <w:num w:numId="4">
    <w:abstractNumId w:val="7"/>
  </w:num>
  <w:num w:numId="5">
    <w:abstractNumId w:val="1"/>
  </w:num>
  <w:num w:numId="6">
    <w:abstractNumId w:val="3"/>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HorizontalSpacing w:val="164"/>
  <w:drawingGridVerticalSpacing w:val="295"/>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GQ5YTE1YjFjMTQxYzJkMDFmMmJiMDYzODI4YjBlZWEifQ=="/>
  </w:docVars>
  <w:rsids>
    <w:rsidRoot w:val="00172A27"/>
    <w:rsid w:val="000273CC"/>
    <w:rsid w:val="00172A27"/>
    <w:rsid w:val="00232CC1"/>
    <w:rsid w:val="00326E13"/>
    <w:rsid w:val="00327A11"/>
    <w:rsid w:val="00610C1F"/>
    <w:rsid w:val="00732320"/>
    <w:rsid w:val="00805A6A"/>
    <w:rsid w:val="009E5347"/>
    <w:rsid w:val="00A5747C"/>
    <w:rsid w:val="00B0004D"/>
    <w:rsid w:val="00B52815"/>
    <w:rsid w:val="00C76964"/>
    <w:rsid w:val="00D05C09"/>
    <w:rsid w:val="00DF4901"/>
    <w:rsid w:val="010158D6"/>
    <w:rsid w:val="01117D6F"/>
    <w:rsid w:val="01124F21"/>
    <w:rsid w:val="01294721"/>
    <w:rsid w:val="014A769D"/>
    <w:rsid w:val="01530780"/>
    <w:rsid w:val="01695955"/>
    <w:rsid w:val="018B0FC3"/>
    <w:rsid w:val="019F370D"/>
    <w:rsid w:val="01A324E9"/>
    <w:rsid w:val="01B446F6"/>
    <w:rsid w:val="01CC5A49"/>
    <w:rsid w:val="01DC7C1A"/>
    <w:rsid w:val="01E44FDB"/>
    <w:rsid w:val="01F14123"/>
    <w:rsid w:val="020F5697"/>
    <w:rsid w:val="02104022"/>
    <w:rsid w:val="021A5D28"/>
    <w:rsid w:val="022E2C6B"/>
    <w:rsid w:val="02392C49"/>
    <w:rsid w:val="02451546"/>
    <w:rsid w:val="024C0DD3"/>
    <w:rsid w:val="025D2311"/>
    <w:rsid w:val="02753E85"/>
    <w:rsid w:val="02823A35"/>
    <w:rsid w:val="029A7D90"/>
    <w:rsid w:val="02A55F37"/>
    <w:rsid w:val="02A61224"/>
    <w:rsid w:val="02AB78A7"/>
    <w:rsid w:val="02B726F0"/>
    <w:rsid w:val="02C57B27"/>
    <w:rsid w:val="02C848FD"/>
    <w:rsid w:val="02CD22B6"/>
    <w:rsid w:val="02E00FA4"/>
    <w:rsid w:val="02E31EF7"/>
    <w:rsid w:val="02E64D83"/>
    <w:rsid w:val="030E63BA"/>
    <w:rsid w:val="031004C7"/>
    <w:rsid w:val="031A521C"/>
    <w:rsid w:val="03327FC8"/>
    <w:rsid w:val="033F05F8"/>
    <w:rsid w:val="034A107B"/>
    <w:rsid w:val="039203CC"/>
    <w:rsid w:val="03922815"/>
    <w:rsid w:val="03B702EF"/>
    <w:rsid w:val="03C554CB"/>
    <w:rsid w:val="03D66BA6"/>
    <w:rsid w:val="040A5974"/>
    <w:rsid w:val="040E6340"/>
    <w:rsid w:val="042230B1"/>
    <w:rsid w:val="04252DB4"/>
    <w:rsid w:val="04495AA6"/>
    <w:rsid w:val="044B1342"/>
    <w:rsid w:val="044E498E"/>
    <w:rsid w:val="04CA74D7"/>
    <w:rsid w:val="05124BD9"/>
    <w:rsid w:val="051747B4"/>
    <w:rsid w:val="05321746"/>
    <w:rsid w:val="053C6DF5"/>
    <w:rsid w:val="053D160F"/>
    <w:rsid w:val="05813ECE"/>
    <w:rsid w:val="05940051"/>
    <w:rsid w:val="05D11057"/>
    <w:rsid w:val="05F0672E"/>
    <w:rsid w:val="05FB04F3"/>
    <w:rsid w:val="060317A8"/>
    <w:rsid w:val="060B4D63"/>
    <w:rsid w:val="062D1007"/>
    <w:rsid w:val="065334BC"/>
    <w:rsid w:val="06565D7C"/>
    <w:rsid w:val="06727E1A"/>
    <w:rsid w:val="06823015"/>
    <w:rsid w:val="068B011B"/>
    <w:rsid w:val="06C948C5"/>
    <w:rsid w:val="06DA4BFF"/>
    <w:rsid w:val="06E715CD"/>
    <w:rsid w:val="072B3B22"/>
    <w:rsid w:val="072C0199"/>
    <w:rsid w:val="07873C7F"/>
    <w:rsid w:val="078828AD"/>
    <w:rsid w:val="078A6899"/>
    <w:rsid w:val="07933BFA"/>
    <w:rsid w:val="079E5C2C"/>
    <w:rsid w:val="07A740A0"/>
    <w:rsid w:val="07ED1734"/>
    <w:rsid w:val="08342A96"/>
    <w:rsid w:val="086E2785"/>
    <w:rsid w:val="08803B2B"/>
    <w:rsid w:val="08C14368"/>
    <w:rsid w:val="08CF4EDA"/>
    <w:rsid w:val="08D61322"/>
    <w:rsid w:val="08DA2C94"/>
    <w:rsid w:val="08DF49A1"/>
    <w:rsid w:val="08E50B47"/>
    <w:rsid w:val="090D2068"/>
    <w:rsid w:val="091B505B"/>
    <w:rsid w:val="092574BE"/>
    <w:rsid w:val="09347A79"/>
    <w:rsid w:val="093B3864"/>
    <w:rsid w:val="094078E9"/>
    <w:rsid w:val="0949606C"/>
    <w:rsid w:val="09537954"/>
    <w:rsid w:val="09581946"/>
    <w:rsid w:val="09966D53"/>
    <w:rsid w:val="09A2769C"/>
    <w:rsid w:val="09B710F8"/>
    <w:rsid w:val="09CD0A4B"/>
    <w:rsid w:val="09D5345C"/>
    <w:rsid w:val="09F12947"/>
    <w:rsid w:val="0A0855DF"/>
    <w:rsid w:val="0A173114"/>
    <w:rsid w:val="0A2B36CF"/>
    <w:rsid w:val="0A4C5543"/>
    <w:rsid w:val="0A597D40"/>
    <w:rsid w:val="0A886737"/>
    <w:rsid w:val="0A951569"/>
    <w:rsid w:val="0AE16A2B"/>
    <w:rsid w:val="0B3F000F"/>
    <w:rsid w:val="0B48482D"/>
    <w:rsid w:val="0B5C5BE2"/>
    <w:rsid w:val="0B664CB3"/>
    <w:rsid w:val="0B7403E4"/>
    <w:rsid w:val="0B831916"/>
    <w:rsid w:val="0B8E4D21"/>
    <w:rsid w:val="0BC21EAB"/>
    <w:rsid w:val="0BC631D3"/>
    <w:rsid w:val="0BE36304"/>
    <w:rsid w:val="0C402986"/>
    <w:rsid w:val="0C64719F"/>
    <w:rsid w:val="0C787A16"/>
    <w:rsid w:val="0C9413AC"/>
    <w:rsid w:val="0C9C5423"/>
    <w:rsid w:val="0CBF2B7A"/>
    <w:rsid w:val="0CDB65ED"/>
    <w:rsid w:val="0CDE0823"/>
    <w:rsid w:val="0CF12DA9"/>
    <w:rsid w:val="0CF96419"/>
    <w:rsid w:val="0D082E8F"/>
    <w:rsid w:val="0D1F336B"/>
    <w:rsid w:val="0D301F9F"/>
    <w:rsid w:val="0D3820FB"/>
    <w:rsid w:val="0D3861DB"/>
    <w:rsid w:val="0D635C0F"/>
    <w:rsid w:val="0D757CC4"/>
    <w:rsid w:val="0D907DC5"/>
    <w:rsid w:val="0D9B12E2"/>
    <w:rsid w:val="0DA8092A"/>
    <w:rsid w:val="0DD25C0F"/>
    <w:rsid w:val="0DD8176C"/>
    <w:rsid w:val="0E113D93"/>
    <w:rsid w:val="0E33684B"/>
    <w:rsid w:val="0E491F6C"/>
    <w:rsid w:val="0E547045"/>
    <w:rsid w:val="0E5A6805"/>
    <w:rsid w:val="0E5F2321"/>
    <w:rsid w:val="0E653000"/>
    <w:rsid w:val="0E763810"/>
    <w:rsid w:val="0E7C47EE"/>
    <w:rsid w:val="0EAA4EB7"/>
    <w:rsid w:val="0EAC0C2F"/>
    <w:rsid w:val="0EEE740C"/>
    <w:rsid w:val="0EFD474B"/>
    <w:rsid w:val="0F0D0E69"/>
    <w:rsid w:val="0F347581"/>
    <w:rsid w:val="0F615EBD"/>
    <w:rsid w:val="0F7B43CD"/>
    <w:rsid w:val="0F82723E"/>
    <w:rsid w:val="0F8B1FE4"/>
    <w:rsid w:val="0F900551"/>
    <w:rsid w:val="0FC621C4"/>
    <w:rsid w:val="0FDA7D49"/>
    <w:rsid w:val="0FE2004E"/>
    <w:rsid w:val="100B7808"/>
    <w:rsid w:val="10217301"/>
    <w:rsid w:val="103B4960"/>
    <w:rsid w:val="10863CAA"/>
    <w:rsid w:val="1097590F"/>
    <w:rsid w:val="10D032CB"/>
    <w:rsid w:val="11586E4C"/>
    <w:rsid w:val="117E3B6C"/>
    <w:rsid w:val="119A0AA0"/>
    <w:rsid w:val="11DB687B"/>
    <w:rsid w:val="11FA7D24"/>
    <w:rsid w:val="11FC1ECD"/>
    <w:rsid w:val="12250BF7"/>
    <w:rsid w:val="12386A99"/>
    <w:rsid w:val="124A277C"/>
    <w:rsid w:val="12541D09"/>
    <w:rsid w:val="125B1F83"/>
    <w:rsid w:val="12AF6B6C"/>
    <w:rsid w:val="12C347F3"/>
    <w:rsid w:val="12CB52B7"/>
    <w:rsid w:val="12DA1AE3"/>
    <w:rsid w:val="1335412C"/>
    <w:rsid w:val="135F0966"/>
    <w:rsid w:val="1394472E"/>
    <w:rsid w:val="13A00050"/>
    <w:rsid w:val="13DD0E1A"/>
    <w:rsid w:val="13E42C19"/>
    <w:rsid w:val="13F441B9"/>
    <w:rsid w:val="14025795"/>
    <w:rsid w:val="14436214"/>
    <w:rsid w:val="14473B85"/>
    <w:rsid w:val="145128FC"/>
    <w:rsid w:val="145E453E"/>
    <w:rsid w:val="14A21A9F"/>
    <w:rsid w:val="14B60A59"/>
    <w:rsid w:val="14C667C2"/>
    <w:rsid w:val="14E46C49"/>
    <w:rsid w:val="14F93B30"/>
    <w:rsid w:val="153652C6"/>
    <w:rsid w:val="15406575"/>
    <w:rsid w:val="15877D00"/>
    <w:rsid w:val="159D7D49"/>
    <w:rsid w:val="15AC3C0A"/>
    <w:rsid w:val="15DC38D0"/>
    <w:rsid w:val="16090243"/>
    <w:rsid w:val="162335FF"/>
    <w:rsid w:val="16695657"/>
    <w:rsid w:val="16835183"/>
    <w:rsid w:val="168B7C8A"/>
    <w:rsid w:val="168D3A3C"/>
    <w:rsid w:val="16A627C6"/>
    <w:rsid w:val="16C65851"/>
    <w:rsid w:val="16FC6A81"/>
    <w:rsid w:val="17016BA4"/>
    <w:rsid w:val="17246995"/>
    <w:rsid w:val="17521871"/>
    <w:rsid w:val="176756C6"/>
    <w:rsid w:val="17C55F11"/>
    <w:rsid w:val="17C813DE"/>
    <w:rsid w:val="17DF7197"/>
    <w:rsid w:val="180F73E8"/>
    <w:rsid w:val="18104A8B"/>
    <w:rsid w:val="181141F9"/>
    <w:rsid w:val="18231DAB"/>
    <w:rsid w:val="182503E3"/>
    <w:rsid w:val="18395BB2"/>
    <w:rsid w:val="185E1BA7"/>
    <w:rsid w:val="18736C61"/>
    <w:rsid w:val="18787DD4"/>
    <w:rsid w:val="18A3139B"/>
    <w:rsid w:val="18B106A6"/>
    <w:rsid w:val="18BF0FFB"/>
    <w:rsid w:val="18C132DC"/>
    <w:rsid w:val="18CA2BFE"/>
    <w:rsid w:val="18E42CCC"/>
    <w:rsid w:val="18ED6A14"/>
    <w:rsid w:val="18FC27B3"/>
    <w:rsid w:val="1903064B"/>
    <w:rsid w:val="19147A29"/>
    <w:rsid w:val="193551A0"/>
    <w:rsid w:val="196F567B"/>
    <w:rsid w:val="199571A7"/>
    <w:rsid w:val="19A215AC"/>
    <w:rsid w:val="19BC5A35"/>
    <w:rsid w:val="19CE545D"/>
    <w:rsid w:val="19D459C1"/>
    <w:rsid w:val="19E46EAC"/>
    <w:rsid w:val="19F47557"/>
    <w:rsid w:val="19FD67E3"/>
    <w:rsid w:val="1A1106C4"/>
    <w:rsid w:val="1A3E4BD1"/>
    <w:rsid w:val="1A7D4BDA"/>
    <w:rsid w:val="1ADC1B83"/>
    <w:rsid w:val="1B0E37EB"/>
    <w:rsid w:val="1B1E44AC"/>
    <w:rsid w:val="1B252495"/>
    <w:rsid w:val="1B822B62"/>
    <w:rsid w:val="1BA83459"/>
    <w:rsid w:val="1BE037E9"/>
    <w:rsid w:val="1BE22948"/>
    <w:rsid w:val="1C006A06"/>
    <w:rsid w:val="1C0D7907"/>
    <w:rsid w:val="1C123C1A"/>
    <w:rsid w:val="1C6A02B9"/>
    <w:rsid w:val="1CCF20E9"/>
    <w:rsid w:val="1CE245A2"/>
    <w:rsid w:val="1CF17006"/>
    <w:rsid w:val="1D4209B0"/>
    <w:rsid w:val="1D491D3F"/>
    <w:rsid w:val="1D5667AB"/>
    <w:rsid w:val="1D812B98"/>
    <w:rsid w:val="1DA90A2F"/>
    <w:rsid w:val="1DD106B2"/>
    <w:rsid w:val="1DE008F5"/>
    <w:rsid w:val="1DE20A99"/>
    <w:rsid w:val="1E0068A1"/>
    <w:rsid w:val="1E087E4C"/>
    <w:rsid w:val="1E320A25"/>
    <w:rsid w:val="1E366A0E"/>
    <w:rsid w:val="1E380731"/>
    <w:rsid w:val="1E3D7AF5"/>
    <w:rsid w:val="1E457E3E"/>
    <w:rsid w:val="1E4E2805"/>
    <w:rsid w:val="1E55765C"/>
    <w:rsid w:val="1E5E0A8A"/>
    <w:rsid w:val="1E6D3818"/>
    <w:rsid w:val="1E70122A"/>
    <w:rsid w:val="1E8966C3"/>
    <w:rsid w:val="1E9514F4"/>
    <w:rsid w:val="1EC45B21"/>
    <w:rsid w:val="1EC462FE"/>
    <w:rsid w:val="1EF248D8"/>
    <w:rsid w:val="1F03497E"/>
    <w:rsid w:val="1F264A2D"/>
    <w:rsid w:val="1F266DAA"/>
    <w:rsid w:val="1F881244"/>
    <w:rsid w:val="1F907275"/>
    <w:rsid w:val="1FAC1B60"/>
    <w:rsid w:val="1FE27186"/>
    <w:rsid w:val="20361B05"/>
    <w:rsid w:val="2059673D"/>
    <w:rsid w:val="206155F1"/>
    <w:rsid w:val="2068164F"/>
    <w:rsid w:val="20700D48"/>
    <w:rsid w:val="207A2CBA"/>
    <w:rsid w:val="208A6CE1"/>
    <w:rsid w:val="20BE0A10"/>
    <w:rsid w:val="20C443B3"/>
    <w:rsid w:val="20EA7E48"/>
    <w:rsid w:val="20F960D1"/>
    <w:rsid w:val="20FD531A"/>
    <w:rsid w:val="21584C46"/>
    <w:rsid w:val="21627525"/>
    <w:rsid w:val="2164183D"/>
    <w:rsid w:val="21880388"/>
    <w:rsid w:val="21882E26"/>
    <w:rsid w:val="218C0007"/>
    <w:rsid w:val="21AB4764"/>
    <w:rsid w:val="21AD7BB9"/>
    <w:rsid w:val="21B46321"/>
    <w:rsid w:val="220D51A1"/>
    <w:rsid w:val="2214513D"/>
    <w:rsid w:val="223157F3"/>
    <w:rsid w:val="224156DA"/>
    <w:rsid w:val="224237B0"/>
    <w:rsid w:val="224376A4"/>
    <w:rsid w:val="2245341D"/>
    <w:rsid w:val="224E54EA"/>
    <w:rsid w:val="228F236F"/>
    <w:rsid w:val="2291580F"/>
    <w:rsid w:val="229708D0"/>
    <w:rsid w:val="22A778A4"/>
    <w:rsid w:val="22C32A0C"/>
    <w:rsid w:val="22CE2D81"/>
    <w:rsid w:val="22F84BD8"/>
    <w:rsid w:val="23353491"/>
    <w:rsid w:val="233E3694"/>
    <w:rsid w:val="23416499"/>
    <w:rsid w:val="23690370"/>
    <w:rsid w:val="236F2A95"/>
    <w:rsid w:val="236F6DD8"/>
    <w:rsid w:val="237064BA"/>
    <w:rsid w:val="23740924"/>
    <w:rsid w:val="23835E55"/>
    <w:rsid w:val="23922691"/>
    <w:rsid w:val="23C93802"/>
    <w:rsid w:val="23D6016F"/>
    <w:rsid w:val="23FC71CF"/>
    <w:rsid w:val="241062A7"/>
    <w:rsid w:val="241613EF"/>
    <w:rsid w:val="241D2A7E"/>
    <w:rsid w:val="24311EAA"/>
    <w:rsid w:val="246B6178"/>
    <w:rsid w:val="24812A18"/>
    <w:rsid w:val="24B85537"/>
    <w:rsid w:val="24D97E4C"/>
    <w:rsid w:val="24E01ABA"/>
    <w:rsid w:val="24F6462D"/>
    <w:rsid w:val="25142430"/>
    <w:rsid w:val="251517CD"/>
    <w:rsid w:val="25354763"/>
    <w:rsid w:val="253F23A5"/>
    <w:rsid w:val="254F6CE9"/>
    <w:rsid w:val="256573D8"/>
    <w:rsid w:val="25875AFA"/>
    <w:rsid w:val="25990CFC"/>
    <w:rsid w:val="25BC1C48"/>
    <w:rsid w:val="25C7239A"/>
    <w:rsid w:val="25D7082F"/>
    <w:rsid w:val="261A6580"/>
    <w:rsid w:val="26340760"/>
    <w:rsid w:val="266A583B"/>
    <w:rsid w:val="267C023A"/>
    <w:rsid w:val="26860756"/>
    <w:rsid w:val="26890770"/>
    <w:rsid w:val="268B6ACB"/>
    <w:rsid w:val="269A6EC3"/>
    <w:rsid w:val="2711735D"/>
    <w:rsid w:val="275F7955"/>
    <w:rsid w:val="27800BB3"/>
    <w:rsid w:val="27910EB2"/>
    <w:rsid w:val="27937A4B"/>
    <w:rsid w:val="279D36D2"/>
    <w:rsid w:val="27B34984"/>
    <w:rsid w:val="27BF5A1F"/>
    <w:rsid w:val="280D060D"/>
    <w:rsid w:val="2828560B"/>
    <w:rsid w:val="282A1770"/>
    <w:rsid w:val="28424D42"/>
    <w:rsid w:val="286F14C4"/>
    <w:rsid w:val="288F4587"/>
    <w:rsid w:val="289077EE"/>
    <w:rsid w:val="28AA222B"/>
    <w:rsid w:val="28E30356"/>
    <w:rsid w:val="28F0593C"/>
    <w:rsid w:val="29736C43"/>
    <w:rsid w:val="29824F56"/>
    <w:rsid w:val="29A273A6"/>
    <w:rsid w:val="29AB6AAE"/>
    <w:rsid w:val="29B175E9"/>
    <w:rsid w:val="29BE14E3"/>
    <w:rsid w:val="2A0B6FEB"/>
    <w:rsid w:val="2A121EFC"/>
    <w:rsid w:val="2A23783E"/>
    <w:rsid w:val="2A4E6F1B"/>
    <w:rsid w:val="2A511714"/>
    <w:rsid w:val="2A646A64"/>
    <w:rsid w:val="2A665FE5"/>
    <w:rsid w:val="2A903549"/>
    <w:rsid w:val="2A9351DC"/>
    <w:rsid w:val="2A961F67"/>
    <w:rsid w:val="2AAF2ABC"/>
    <w:rsid w:val="2AB9225D"/>
    <w:rsid w:val="2AC47E69"/>
    <w:rsid w:val="2AD05007"/>
    <w:rsid w:val="2AD74565"/>
    <w:rsid w:val="2AD80D97"/>
    <w:rsid w:val="2AFD6CA0"/>
    <w:rsid w:val="2B275DB5"/>
    <w:rsid w:val="2B2E64E5"/>
    <w:rsid w:val="2B5C3290"/>
    <w:rsid w:val="2B764ADD"/>
    <w:rsid w:val="2B773666"/>
    <w:rsid w:val="2B835ABA"/>
    <w:rsid w:val="2B88249A"/>
    <w:rsid w:val="2BE30CE1"/>
    <w:rsid w:val="2C32283B"/>
    <w:rsid w:val="2C4D184B"/>
    <w:rsid w:val="2C5E44B4"/>
    <w:rsid w:val="2C5F7873"/>
    <w:rsid w:val="2C6721E1"/>
    <w:rsid w:val="2C6D37C1"/>
    <w:rsid w:val="2C9F21B1"/>
    <w:rsid w:val="2CB13BE7"/>
    <w:rsid w:val="2CC0158D"/>
    <w:rsid w:val="2CED1E01"/>
    <w:rsid w:val="2CF9108B"/>
    <w:rsid w:val="2CF96CA4"/>
    <w:rsid w:val="2CFE2B46"/>
    <w:rsid w:val="2D0B614B"/>
    <w:rsid w:val="2D1E23BE"/>
    <w:rsid w:val="2D393B7E"/>
    <w:rsid w:val="2D726D56"/>
    <w:rsid w:val="2D745436"/>
    <w:rsid w:val="2DAA614E"/>
    <w:rsid w:val="2DED581F"/>
    <w:rsid w:val="2DF945DC"/>
    <w:rsid w:val="2E0615CB"/>
    <w:rsid w:val="2E7D15EB"/>
    <w:rsid w:val="2E7D7BBE"/>
    <w:rsid w:val="2E8670C2"/>
    <w:rsid w:val="2E9656F1"/>
    <w:rsid w:val="2EA53F2B"/>
    <w:rsid w:val="2EE363AA"/>
    <w:rsid w:val="2F7B561F"/>
    <w:rsid w:val="2F90193A"/>
    <w:rsid w:val="2F9D2AB1"/>
    <w:rsid w:val="2F9E416C"/>
    <w:rsid w:val="2FAF765F"/>
    <w:rsid w:val="2FB85F75"/>
    <w:rsid w:val="2FC7083E"/>
    <w:rsid w:val="2FC767AB"/>
    <w:rsid w:val="2FCA3225"/>
    <w:rsid w:val="2FCE7283"/>
    <w:rsid w:val="2FDB33F0"/>
    <w:rsid w:val="2FFA073F"/>
    <w:rsid w:val="30287401"/>
    <w:rsid w:val="30566AFF"/>
    <w:rsid w:val="305B7641"/>
    <w:rsid w:val="30B73737"/>
    <w:rsid w:val="30BA3228"/>
    <w:rsid w:val="30BF083E"/>
    <w:rsid w:val="30DB070D"/>
    <w:rsid w:val="30E1695B"/>
    <w:rsid w:val="30EC658C"/>
    <w:rsid w:val="30EE1692"/>
    <w:rsid w:val="30F42ADB"/>
    <w:rsid w:val="314407B0"/>
    <w:rsid w:val="3164519F"/>
    <w:rsid w:val="317F1EE4"/>
    <w:rsid w:val="319207F3"/>
    <w:rsid w:val="319B4E07"/>
    <w:rsid w:val="31A35A6A"/>
    <w:rsid w:val="31C3435E"/>
    <w:rsid w:val="31E367AE"/>
    <w:rsid w:val="31F1076A"/>
    <w:rsid w:val="31F61299"/>
    <w:rsid w:val="31F91B2E"/>
    <w:rsid w:val="320E085F"/>
    <w:rsid w:val="322938DB"/>
    <w:rsid w:val="32340DB8"/>
    <w:rsid w:val="323B5CA2"/>
    <w:rsid w:val="328F5025"/>
    <w:rsid w:val="32A07C47"/>
    <w:rsid w:val="32A234F4"/>
    <w:rsid w:val="32A26E1B"/>
    <w:rsid w:val="32A970B0"/>
    <w:rsid w:val="32B75C71"/>
    <w:rsid w:val="32D560F7"/>
    <w:rsid w:val="331201B7"/>
    <w:rsid w:val="331F7427"/>
    <w:rsid w:val="333746BC"/>
    <w:rsid w:val="3341553A"/>
    <w:rsid w:val="33662764"/>
    <w:rsid w:val="33755E91"/>
    <w:rsid w:val="33B76D79"/>
    <w:rsid w:val="33E3385A"/>
    <w:rsid w:val="33F33215"/>
    <w:rsid w:val="34062303"/>
    <w:rsid w:val="34621C0C"/>
    <w:rsid w:val="34645984"/>
    <w:rsid w:val="349A5907"/>
    <w:rsid w:val="34A84641"/>
    <w:rsid w:val="34BB103D"/>
    <w:rsid w:val="34C253C0"/>
    <w:rsid w:val="34C74165"/>
    <w:rsid w:val="34EA3C13"/>
    <w:rsid w:val="34F269A1"/>
    <w:rsid w:val="350F3D9C"/>
    <w:rsid w:val="351F11FD"/>
    <w:rsid w:val="35305EEB"/>
    <w:rsid w:val="355E7063"/>
    <w:rsid w:val="356A0709"/>
    <w:rsid w:val="35CB251B"/>
    <w:rsid w:val="36103EC1"/>
    <w:rsid w:val="363E1CAF"/>
    <w:rsid w:val="365909C9"/>
    <w:rsid w:val="365C597B"/>
    <w:rsid w:val="36A355BB"/>
    <w:rsid w:val="36AA673B"/>
    <w:rsid w:val="36BD312A"/>
    <w:rsid w:val="36E32C70"/>
    <w:rsid w:val="36F54FB9"/>
    <w:rsid w:val="37160858"/>
    <w:rsid w:val="37165CDA"/>
    <w:rsid w:val="37490E61"/>
    <w:rsid w:val="37845620"/>
    <w:rsid w:val="37A95DA4"/>
    <w:rsid w:val="37BA3D54"/>
    <w:rsid w:val="37BB3EAE"/>
    <w:rsid w:val="37BF0AAA"/>
    <w:rsid w:val="37C404E8"/>
    <w:rsid w:val="37DC7F27"/>
    <w:rsid w:val="37E34E12"/>
    <w:rsid w:val="37ED3EE3"/>
    <w:rsid w:val="38087732"/>
    <w:rsid w:val="380C0FE7"/>
    <w:rsid w:val="380E1661"/>
    <w:rsid w:val="381F39DE"/>
    <w:rsid w:val="38237904"/>
    <w:rsid w:val="38376D0F"/>
    <w:rsid w:val="384F1CE3"/>
    <w:rsid w:val="385171C9"/>
    <w:rsid w:val="38726196"/>
    <w:rsid w:val="38976CA0"/>
    <w:rsid w:val="389F5C1C"/>
    <w:rsid w:val="38A01EAB"/>
    <w:rsid w:val="38BA453D"/>
    <w:rsid w:val="38D35006"/>
    <w:rsid w:val="38D46E50"/>
    <w:rsid w:val="38D80DF5"/>
    <w:rsid w:val="38F35529"/>
    <w:rsid w:val="39331627"/>
    <w:rsid w:val="39355B41"/>
    <w:rsid w:val="39371EAF"/>
    <w:rsid w:val="393F67EA"/>
    <w:rsid w:val="394144E6"/>
    <w:rsid w:val="396401AD"/>
    <w:rsid w:val="39777491"/>
    <w:rsid w:val="39863B8A"/>
    <w:rsid w:val="39C95F85"/>
    <w:rsid w:val="39D32C64"/>
    <w:rsid w:val="3A2C5B5C"/>
    <w:rsid w:val="3A6A181A"/>
    <w:rsid w:val="3A791F08"/>
    <w:rsid w:val="3A9414C2"/>
    <w:rsid w:val="3A954025"/>
    <w:rsid w:val="3AA420FE"/>
    <w:rsid w:val="3AA96C2C"/>
    <w:rsid w:val="3AAD35FB"/>
    <w:rsid w:val="3ABC2BB3"/>
    <w:rsid w:val="3ADF5EE6"/>
    <w:rsid w:val="3AEE5A68"/>
    <w:rsid w:val="3AF84459"/>
    <w:rsid w:val="3B1130F6"/>
    <w:rsid w:val="3B2A6C62"/>
    <w:rsid w:val="3B4F120C"/>
    <w:rsid w:val="3B722183"/>
    <w:rsid w:val="3B7C157C"/>
    <w:rsid w:val="3C157564"/>
    <w:rsid w:val="3C1C4D96"/>
    <w:rsid w:val="3C436316"/>
    <w:rsid w:val="3C5B3312"/>
    <w:rsid w:val="3C614442"/>
    <w:rsid w:val="3C687118"/>
    <w:rsid w:val="3C75462D"/>
    <w:rsid w:val="3C8017F9"/>
    <w:rsid w:val="3CA43C97"/>
    <w:rsid w:val="3CF32DAE"/>
    <w:rsid w:val="3D0E0111"/>
    <w:rsid w:val="3D1F58A6"/>
    <w:rsid w:val="3D3412F6"/>
    <w:rsid w:val="3D3B2FFA"/>
    <w:rsid w:val="3D7A3774"/>
    <w:rsid w:val="3D861CD4"/>
    <w:rsid w:val="3D874491"/>
    <w:rsid w:val="3DBA03C3"/>
    <w:rsid w:val="3DC4196C"/>
    <w:rsid w:val="3DC728C6"/>
    <w:rsid w:val="3DC76F84"/>
    <w:rsid w:val="3DD77B81"/>
    <w:rsid w:val="3DDA659D"/>
    <w:rsid w:val="3DDC2A2F"/>
    <w:rsid w:val="3E1310D6"/>
    <w:rsid w:val="3E1675C3"/>
    <w:rsid w:val="3EB70DA6"/>
    <w:rsid w:val="3ECE66F3"/>
    <w:rsid w:val="3ED656D0"/>
    <w:rsid w:val="3ED8609D"/>
    <w:rsid w:val="3EDE6333"/>
    <w:rsid w:val="3EE813BD"/>
    <w:rsid w:val="3F1E0E25"/>
    <w:rsid w:val="3F2500E3"/>
    <w:rsid w:val="3F4A3638"/>
    <w:rsid w:val="3FBD05CE"/>
    <w:rsid w:val="3FC90822"/>
    <w:rsid w:val="3FE17B44"/>
    <w:rsid w:val="3FE874F2"/>
    <w:rsid w:val="40126ECD"/>
    <w:rsid w:val="402E5098"/>
    <w:rsid w:val="402F29F4"/>
    <w:rsid w:val="402F7891"/>
    <w:rsid w:val="4037219F"/>
    <w:rsid w:val="407411B2"/>
    <w:rsid w:val="408D0011"/>
    <w:rsid w:val="40A75516"/>
    <w:rsid w:val="40C77AFB"/>
    <w:rsid w:val="40CC0506"/>
    <w:rsid w:val="40EF7D3E"/>
    <w:rsid w:val="411424E0"/>
    <w:rsid w:val="411460CC"/>
    <w:rsid w:val="411B561D"/>
    <w:rsid w:val="41665065"/>
    <w:rsid w:val="417C134F"/>
    <w:rsid w:val="419E1DAA"/>
    <w:rsid w:val="419E7FFC"/>
    <w:rsid w:val="41BB08CC"/>
    <w:rsid w:val="4226071D"/>
    <w:rsid w:val="422816E4"/>
    <w:rsid w:val="42396311"/>
    <w:rsid w:val="42436607"/>
    <w:rsid w:val="427365B1"/>
    <w:rsid w:val="42BA242C"/>
    <w:rsid w:val="430C3253"/>
    <w:rsid w:val="435412BA"/>
    <w:rsid w:val="439D03D5"/>
    <w:rsid w:val="43AD32E2"/>
    <w:rsid w:val="43AE3C07"/>
    <w:rsid w:val="43B779E1"/>
    <w:rsid w:val="43BD0C0D"/>
    <w:rsid w:val="43C024AB"/>
    <w:rsid w:val="43C76A45"/>
    <w:rsid w:val="43D004A5"/>
    <w:rsid w:val="43DB0DAF"/>
    <w:rsid w:val="43E202FE"/>
    <w:rsid w:val="43E67839"/>
    <w:rsid w:val="442A5EAE"/>
    <w:rsid w:val="445C4E55"/>
    <w:rsid w:val="44684A65"/>
    <w:rsid w:val="44705C7F"/>
    <w:rsid w:val="44A8366B"/>
    <w:rsid w:val="44AB7165"/>
    <w:rsid w:val="44BC74DC"/>
    <w:rsid w:val="44CD4E80"/>
    <w:rsid w:val="44DA670D"/>
    <w:rsid w:val="44DD6FED"/>
    <w:rsid w:val="45101210"/>
    <w:rsid w:val="45483F3B"/>
    <w:rsid w:val="4577128F"/>
    <w:rsid w:val="458B5EB4"/>
    <w:rsid w:val="458F58BE"/>
    <w:rsid w:val="459F2450"/>
    <w:rsid w:val="45A1630C"/>
    <w:rsid w:val="45A2135B"/>
    <w:rsid w:val="45AD2105"/>
    <w:rsid w:val="45E863F1"/>
    <w:rsid w:val="45EC57D9"/>
    <w:rsid w:val="45FD79E7"/>
    <w:rsid w:val="460F3276"/>
    <w:rsid w:val="464B4DAB"/>
    <w:rsid w:val="464C2D89"/>
    <w:rsid w:val="46557495"/>
    <w:rsid w:val="46586FF9"/>
    <w:rsid w:val="466510E8"/>
    <w:rsid w:val="46671304"/>
    <w:rsid w:val="46674EF9"/>
    <w:rsid w:val="467530FD"/>
    <w:rsid w:val="469609BB"/>
    <w:rsid w:val="46987C6D"/>
    <w:rsid w:val="469A3487"/>
    <w:rsid w:val="46A165C4"/>
    <w:rsid w:val="46AE0CE1"/>
    <w:rsid w:val="46BA58D8"/>
    <w:rsid w:val="46D25027"/>
    <w:rsid w:val="46DB343F"/>
    <w:rsid w:val="46F54C2F"/>
    <w:rsid w:val="46FB09FC"/>
    <w:rsid w:val="46FD6E57"/>
    <w:rsid w:val="4706761F"/>
    <w:rsid w:val="47215957"/>
    <w:rsid w:val="47243094"/>
    <w:rsid w:val="472F7B35"/>
    <w:rsid w:val="4732246F"/>
    <w:rsid w:val="473F5DDD"/>
    <w:rsid w:val="475663AF"/>
    <w:rsid w:val="47980B27"/>
    <w:rsid w:val="47AB5220"/>
    <w:rsid w:val="47B920DA"/>
    <w:rsid w:val="47F5570C"/>
    <w:rsid w:val="47F74979"/>
    <w:rsid w:val="47F80B92"/>
    <w:rsid w:val="48215D2B"/>
    <w:rsid w:val="4825055D"/>
    <w:rsid w:val="48743864"/>
    <w:rsid w:val="48962B35"/>
    <w:rsid w:val="489939B7"/>
    <w:rsid w:val="48B56512"/>
    <w:rsid w:val="48E2450F"/>
    <w:rsid w:val="48F91B26"/>
    <w:rsid w:val="495758A9"/>
    <w:rsid w:val="495B1759"/>
    <w:rsid w:val="49680CD8"/>
    <w:rsid w:val="49753D38"/>
    <w:rsid w:val="49801EF4"/>
    <w:rsid w:val="49AE458B"/>
    <w:rsid w:val="49C64FCC"/>
    <w:rsid w:val="49FC1778"/>
    <w:rsid w:val="4A2E7D66"/>
    <w:rsid w:val="4A4F373E"/>
    <w:rsid w:val="4A6F7666"/>
    <w:rsid w:val="4A7821AA"/>
    <w:rsid w:val="4AA17CD0"/>
    <w:rsid w:val="4AC07235"/>
    <w:rsid w:val="4ADC7BDF"/>
    <w:rsid w:val="4AEC1EC0"/>
    <w:rsid w:val="4AF40FE2"/>
    <w:rsid w:val="4AF876AD"/>
    <w:rsid w:val="4B0C5FD6"/>
    <w:rsid w:val="4B2C79DB"/>
    <w:rsid w:val="4B63653E"/>
    <w:rsid w:val="4B644064"/>
    <w:rsid w:val="4B7F2E83"/>
    <w:rsid w:val="4B8E2E8F"/>
    <w:rsid w:val="4B9177DA"/>
    <w:rsid w:val="4BB2423C"/>
    <w:rsid w:val="4BB83E60"/>
    <w:rsid w:val="4BBF74EC"/>
    <w:rsid w:val="4BC70AD2"/>
    <w:rsid w:val="4BC714B0"/>
    <w:rsid w:val="4BCB160F"/>
    <w:rsid w:val="4BFF3207"/>
    <w:rsid w:val="4C1B6656"/>
    <w:rsid w:val="4C9910A9"/>
    <w:rsid w:val="4CB93F3C"/>
    <w:rsid w:val="4CC27294"/>
    <w:rsid w:val="4CD36D36"/>
    <w:rsid w:val="4CEC44FA"/>
    <w:rsid w:val="4CF80F08"/>
    <w:rsid w:val="4CFA2A08"/>
    <w:rsid w:val="4D081D16"/>
    <w:rsid w:val="4D0C05F9"/>
    <w:rsid w:val="4D0D7727"/>
    <w:rsid w:val="4D2F6BC2"/>
    <w:rsid w:val="4D4E2E69"/>
    <w:rsid w:val="4D61366A"/>
    <w:rsid w:val="4D6C3891"/>
    <w:rsid w:val="4D731269"/>
    <w:rsid w:val="4D9C5D37"/>
    <w:rsid w:val="4DDB1395"/>
    <w:rsid w:val="4DE4160F"/>
    <w:rsid w:val="4DF04720"/>
    <w:rsid w:val="4DFA0CB0"/>
    <w:rsid w:val="4E236A1A"/>
    <w:rsid w:val="4E3D392C"/>
    <w:rsid w:val="4E437F61"/>
    <w:rsid w:val="4E681DF9"/>
    <w:rsid w:val="4E8C59B2"/>
    <w:rsid w:val="4EA84268"/>
    <w:rsid w:val="4EAB1796"/>
    <w:rsid w:val="4ECA194A"/>
    <w:rsid w:val="4EDD6607"/>
    <w:rsid w:val="4EE82878"/>
    <w:rsid w:val="4F052FD0"/>
    <w:rsid w:val="4F0756F4"/>
    <w:rsid w:val="4F132029"/>
    <w:rsid w:val="4F1C05A5"/>
    <w:rsid w:val="4F3A5808"/>
    <w:rsid w:val="4F4A531F"/>
    <w:rsid w:val="4F4C398F"/>
    <w:rsid w:val="4F55619D"/>
    <w:rsid w:val="4F5F3664"/>
    <w:rsid w:val="4F6C798B"/>
    <w:rsid w:val="4F8F4C9C"/>
    <w:rsid w:val="4FB6081B"/>
    <w:rsid w:val="4FE6773D"/>
    <w:rsid w:val="4FEB6B02"/>
    <w:rsid w:val="4FF32561"/>
    <w:rsid w:val="500478CA"/>
    <w:rsid w:val="50723CFF"/>
    <w:rsid w:val="50913D49"/>
    <w:rsid w:val="509C1BAA"/>
    <w:rsid w:val="509C2DD8"/>
    <w:rsid w:val="50AA240C"/>
    <w:rsid w:val="50D73A08"/>
    <w:rsid w:val="50FB2EA4"/>
    <w:rsid w:val="51160A18"/>
    <w:rsid w:val="51161BE9"/>
    <w:rsid w:val="51266FBF"/>
    <w:rsid w:val="513F5D80"/>
    <w:rsid w:val="51402E7D"/>
    <w:rsid w:val="51572B18"/>
    <w:rsid w:val="51866BBD"/>
    <w:rsid w:val="519F7BA4"/>
    <w:rsid w:val="51DF03E9"/>
    <w:rsid w:val="520F503C"/>
    <w:rsid w:val="521205EC"/>
    <w:rsid w:val="52312414"/>
    <w:rsid w:val="52326C6A"/>
    <w:rsid w:val="525B698C"/>
    <w:rsid w:val="52856F63"/>
    <w:rsid w:val="52C3066B"/>
    <w:rsid w:val="52E53CDC"/>
    <w:rsid w:val="53112B67"/>
    <w:rsid w:val="534357A3"/>
    <w:rsid w:val="538212CB"/>
    <w:rsid w:val="538C3990"/>
    <w:rsid w:val="53901E9A"/>
    <w:rsid w:val="53BC2B2A"/>
    <w:rsid w:val="53BE1331"/>
    <w:rsid w:val="53CB322A"/>
    <w:rsid w:val="53F17E3F"/>
    <w:rsid w:val="53FD6E04"/>
    <w:rsid w:val="541239DF"/>
    <w:rsid w:val="54194DD4"/>
    <w:rsid w:val="541C372E"/>
    <w:rsid w:val="54330A77"/>
    <w:rsid w:val="54665548"/>
    <w:rsid w:val="547D5BB4"/>
    <w:rsid w:val="54B46017"/>
    <w:rsid w:val="54CD67D6"/>
    <w:rsid w:val="54DB72AC"/>
    <w:rsid w:val="54EF0E42"/>
    <w:rsid w:val="54F621D1"/>
    <w:rsid w:val="550D342E"/>
    <w:rsid w:val="55120E38"/>
    <w:rsid w:val="551B4DA9"/>
    <w:rsid w:val="55494FB9"/>
    <w:rsid w:val="554B1A9D"/>
    <w:rsid w:val="559F39B4"/>
    <w:rsid w:val="55AD6336"/>
    <w:rsid w:val="55B50EFD"/>
    <w:rsid w:val="55DA3045"/>
    <w:rsid w:val="55E55DA1"/>
    <w:rsid w:val="55F1520B"/>
    <w:rsid w:val="561D2A3F"/>
    <w:rsid w:val="561F1A29"/>
    <w:rsid w:val="56294AA6"/>
    <w:rsid w:val="56501CE2"/>
    <w:rsid w:val="56835010"/>
    <w:rsid w:val="56933C83"/>
    <w:rsid w:val="570A2720"/>
    <w:rsid w:val="5750168B"/>
    <w:rsid w:val="57A228C1"/>
    <w:rsid w:val="57AC599D"/>
    <w:rsid w:val="57AC6B77"/>
    <w:rsid w:val="57B82DC8"/>
    <w:rsid w:val="57D96D3A"/>
    <w:rsid w:val="57F30C49"/>
    <w:rsid w:val="580026C2"/>
    <w:rsid w:val="58016AE1"/>
    <w:rsid w:val="580A0ADE"/>
    <w:rsid w:val="5827786B"/>
    <w:rsid w:val="58352C42"/>
    <w:rsid w:val="583830B8"/>
    <w:rsid w:val="584415C6"/>
    <w:rsid w:val="584B2834"/>
    <w:rsid w:val="587A0D10"/>
    <w:rsid w:val="58806598"/>
    <w:rsid w:val="5898061B"/>
    <w:rsid w:val="58AB6E2E"/>
    <w:rsid w:val="58FD3402"/>
    <w:rsid w:val="592C21E5"/>
    <w:rsid w:val="59407922"/>
    <w:rsid w:val="59441031"/>
    <w:rsid w:val="5966003F"/>
    <w:rsid w:val="59811881"/>
    <w:rsid w:val="59DF1AFE"/>
    <w:rsid w:val="59E44DC1"/>
    <w:rsid w:val="59FC69DC"/>
    <w:rsid w:val="5A1D0200"/>
    <w:rsid w:val="5A2E41BB"/>
    <w:rsid w:val="5A360E10"/>
    <w:rsid w:val="5A3F2263"/>
    <w:rsid w:val="5A5634C4"/>
    <w:rsid w:val="5A5A0D8D"/>
    <w:rsid w:val="5A5C1C31"/>
    <w:rsid w:val="5A5F24C3"/>
    <w:rsid w:val="5A696E88"/>
    <w:rsid w:val="5A7071EE"/>
    <w:rsid w:val="5AA15FE5"/>
    <w:rsid w:val="5AFD3736"/>
    <w:rsid w:val="5B04316E"/>
    <w:rsid w:val="5B175BE2"/>
    <w:rsid w:val="5B251D30"/>
    <w:rsid w:val="5B486F03"/>
    <w:rsid w:val="5B4E4F4D"/>
    <w:rsid w:val="5B940BEA"/>
    <w:rsid w:val="5B9444F1"/>
    <w:rsid w:val="5B980728"/>
    <w:rsid w:val="5BA858A7"/>
    <w:rsid w:val="5BBA6A37"/>
    <w:rsid w:val="5BBE156E"/>
    <w:rsid w:val="5BC528FD"/>
    <w:rsid w:val="5BD743D2"/>
    <w:rsid w:val="5BEA3382"/>
    <w:rsid w:val="5BEA5EBF"/>
    <w:rsid w:val="5C063EDE"/>
    <w:rsid w:val="5C0B0586"/>
    <w:rsid w:val="5C0D1BAE"/>
    <w:rsid w:val="5C3B6DC8"/>
    <w:rsid w:val="5C3F3AD5"/>
    <w:rsid w:val="5C55196B"/>
    <w:rsid w:val="5C974299"/>
    <w:rsid w:val="5CE40B61"/>
    <w:rsid w:val="5CE578EC"/>
    <w:rsid w:val="5CEC378E"/>
    <w:rsid w:val="5D04467E"/>
    <w:rsid w:val="5D08687D"/>
    <w:rsid w:val="5D236DF3"/>
    <w:rsid w:val="5D2A4C50"/>
    <w:rsid w:val="5D366A6A"/>
    <w:rsid w:val="5D4E7D53"/>
    <w:rsid w:val="5D643C46"/>
    <w:rsid w:val="5D8B722E"/>
    <w:rsid w:val="5D9A2B89"/>
    <w:rsid w:val="5DEB51D3"/>
    <w:rsid w:val="5DF15182"/>
    <w:rsid w:val="5DF53D48"/>
    <w:rsid w:val="5E0516FB"/>
    <w:rsid w:val="5E1075E1"/>
    <w:rsid w:val="5E120B70"/>
    <w:rsid w:val="5E292FA4"/>
    <w:rsid w:val="5E4C22DD"/>
    <w:rsid w:val="5E52136B"/>
    <w:rsid w:val="5E6070B5"/>
    <w:rsid w:val="5E630477"/>
    <w:rsid w:val="5E73228B"/>
    <w:rsid w:val="5E8721BA"/>
    <w:rsid w:val="5EB84053"/>
    <w:rsid w:val="5F211F46"/>
    <w:rsid w:val="5F795ED8"/>
    <w:rsid w:val="5F79756B"/>
    <w:rsid w:val="5F814D8D"/>
    <w:rsid w:val="5FAE48DD"/>
    <w:rsid w:val="5FB73766"/>
    <w:rsid w:val="5FE46E82"/>
    <w:rsid w:val="602D6CC3"/>
    <w:rsid w:val="605C2BF4"/>
    <w:rsid w:val="605E50CE"/>
    <w:rsid w:val="607A28BD"/>
    <w:rsid w:val="60867CE5"/>
    <w:rsid w:val="6095108B"/>
    <w:rsid w:val="60991164"/>
    <w:rsid w:val="60BD0047"/>
    <w:rsid w:val="60DA3FC6"/>
    <w:rsid w:val="60DE0C46"/>
    <w:rsid w:val="60E2768A"/>
    <w:rsid w:val="60EE532A"/>
    <w:rsid w:val="6139621D"/>
    <w:rsid w:val="61B52794"/>
    <w:rsid w:val="61DC44FC"/>
    <w:rsid w:val="61FE6624"/>
    <w:rsid w:val="62173786"/>
    <w:rsid w:val="622C50F6"/>
    <w:rsid w:val="623419A2"/>
    <w:rsid w:val="625015C2"/>
    <w:rsid w:val="62522A10"/>
    <w:rsid w:val="625642AF"/>
    <w:rsid w:val="626B773F"/>
    <w:rsid w:val="629673D7"/>
    <w:rsid w:val="62A97C0B"/>
    <w:rsid w:val="62AC618F"/>
    <w:rsid w:val="62C93261"/>
    <w:rsid w:val="62CD16FE"/>
    <w:rsid w:val="62DA58C2"/>
    <w:rsid w:val="62DD4309"/>
    <w:rsid w:val="62F61F75"/>
    <w:rsid w:val="632E2B36"/>
    <w:rsid w:val="63660D91"/>
    <w:rsid w:val="636B7F3B"/>
    <w:rsid w:val="63754242"/>
    <w:rsid w:val="63761AAF"/>
    <w:rsid w:val="637F5F93"/>
    <w:rsid w:val="638C5AAE"/>
    <w:rsid w:val="638E7A0E"/>
    <w:rsid w:val="63976EDB"/>
    <w:rsid w:val="63A45A90"/>
    <w:rsid w:val="63C06767"/>
    <w:rsid w:val="63C67A86"/>
    <w:rsid w:val="63D26520"/>
    <w:rsid w:val="63E91A97"/>
    <w:rsid w:val="63EB4ECB"/>
    <w:rsid w:val="642D7D8C"/>
    <w:rsid w:val="64416899"/>
    <w:rsid w:val="648513AF"/>
    <w:rsid w:val="64885109"/>
    <w:rsid w:val="648E4BAE"/>
    <w:rsid w:val="64915A72"/>
    <w:rsid w:val="649B4C35"/>
    <w:rsid w:val="64E55291"/>
    <w:rsid w:val="64EB2A24"/>
    <w:rsid w:val="64EF0867"/>
    <w:rsid w:val="64F5059A"/>
    <w:rsid w:val="65071890"/>
    <w:rsid w:val="65102B2C"/>
    <w:rsid w:val="65165F77"/>
    <w:rsid w:val="653A1D07"/>
    <w:rsid w:val="653F727C"/>
    <w:rsid w:val="65841BF0"/>
    <w:rsid w:val="6588381D"/>
    <w:rsid w:val="65A63FCA"/>
    <w:rsid w:val="65D87D56"/>
    <w:rsid w:val="65E4151F"/>
    <w:rsid w:val="65F8742B"/>
    <w:rsid w:val="66046C2B"/>
    <w:rsid w:val="661862CF"/>
    <w:rsid w:val="662621EA"/>
    <w:rsid w:val="665B29A3"/>
    <w:rsid w:val="6661437D"/>
    <w:rsid w:val="66734CD3"/>
    <w:rsid w:val="66761EA0"/>
    <w:rsid w:val="667F1FD2"/>
    <w:rsid w:val="66952ECC"/>
    <w:rsid w:val="669B425F"/>
    <w:rsid w:val="66CA0DC7"/>
    <w:rsid w:val="66DC7A9E"/>
    <w:rsid w:val="66E264DF"/>
    <w:rsid w:val="6712300D"/>
    <w:rsid w:val="67270E49"/>
    <w:rsid w:val="6744501E"/>
    <w:rsid w:val="675D60DF"/>
    <w:rsid w:val="676034DA"/>
    <w:rsid w:val="67757753"/>
    <w:rsid w:val="67892A30"/>
    <w:rsid w:val="67A954B5"/>
    <w:rsid w:val="67B6134C"/>
    <w:rsid w:val="67B76F9D"/>
    <w:rsid w:val="67F05006"/>
    <w:rsid w:val="6801712A"/>
    <w:rsid w:val="681A3FD0"/>
    <w:rsid w:val="681C1AF7"/>
    <w:rsid w:val="682409AB"/>
    <w:rsid w:val="682D76A5"/>
    <w:rsid w:val="68385990"/>
    <w:rsid w:val="68466B73"/>
    <w:rsid w:val="68471E7D"/>
    <w:rsid w:val="68584BE5"/>
    <w:rsid w:val="686A23AC"/>
    <w:rsid w:val="687B3BA9"/>
    <w:rsid w:val="6888718C"/>
    <w:rsid w:val="689D5D65"/>
    <w:rsid w:val="68E844C0"/>
    <w:rsid w:val="68FE1086"/>
    <w:rsid w:val="69134409"/>
    <w:rsid w:val="692A0243"/>
    <w:rsid w:val="6931365A"/>
    <w:rsid w:val="693C09F3"/>
    <w:rsid w:val="693F35FB"/>
    <w:rsid w:val="69564AEF"/>
    <w:rsid w:val="69567B1D"/>
    <w:rsid w:val="696B5D3C"/>
    <w:rsid w:val="69A57710"/>
    <w:rsid w:val="69D16911"/>
    <w:rsid w:val="69DA7573"/>
    <w:rsid w:val="69DD72DF"/>
    <w:rsid w:val="69E37C98"/>
    <w:rsid w:val="69E65874"/>
    <w:rsid w:val="69FB258E"/>
    <w:rsid w:val="6A284B58"/>
    <w:rsid w:val="6A455F02"/>
    <w:rsid w:val="6A6B735D"/>
    <w:rsid w:val="6A8C3686"/>
    <w:rsid w:val="6A930ADB"/>
    <w:rsid w:val="6A932FE4"/>
    <w:rsid w:val="6A9821AE"/>
    <w:rsid w:val="6A9D2FFF"/>
    <w:rsid w:val="6AA2574E"/>
    <w:rsid w:val="6AA67D9D"/>
    <w:rsid w:val="6AA92F5F"/>
    <w:rsid w:val="6AED1528"/>
    <w:rsid w:val="6B0F76F1"/>
    <w:rsid w:val="6B4158D8"/>
    <w:rsid w:val="6B594E10"/>
    <w:rsid w:val="6B633E50"/>
    <w:rsid w:val="6B6812C4"/>
    <w:rsid w:val="6B797260"/>
    <w:rsid w:val="6B7B54F2"/>
    <w:rsid w:val="6B867974"/>
    <w:rsid w:val="6BB32FFC"/>
    <w:rsid w:val="6BFC2025"/>
    <w:rsid w:val="6C0B1936"/>
    <w:rsid w:val="6C0C3C30"/>
    <w:rsid w:val="6C461F3C"/>
    <w:rsid w:val="6C572B14"/>
    <w:rsid w:val="6C740B4C"/>
    <w:rsid w:val="6C7851AA"/>
    <w:rsid w:val="6C7C0DB6"/>
    <w:rsid w:val="6C7D1DFB"/>
    <w:rsid w:val="6CA967B8"/>
    <w:rsid w:val="6CE1167B"/>
    <w:rsid w:val="6CF6498B"/>
    <w:rsid w:val="6D176D30"/>
    <w:rsid w:val="6D244226"/>
    <w:rsid w:val="6D310F73"/>
    <w:rsid w:val="6D374CDD"/>
    <w:rsid w:val="6D3A657B"/>
    <w:rsid w:val="6D5238C5"/>
    <w:rsid w:val="6D581F08"/>
    <w:rsid w:val="6D7A561E"/>
    <w:rsid w:val="6D925563"/>
    <w:rsid w:val="6D9F029A"/>
    <w:rsid w:val="6DC5053A"/>
    <w:rsid w:val="6DCC4AC5"/>
    <w:rsid w:val="6DEB1DD1"/>
    <w:rsid w:val="6DFF044B"/>
    <w:rsid w:val="6E032E11"/>
    <w:rsid w:val="6E182D60"/>
    <w:rsid w:val="6E5F273D"/>
    <w:rsid w:val="6E763E4B"/>
    <w:rsid w:val="6EC425A0"/>
    <w:rsid w:val="6EDD40FC"/>
    <w:rsid w:val="6EDE397B"/>
    <w:rsid w:val="6EF442EF"/>
    <w:rsid w:val="6F011A46"/>
    <w:rsid w:val="6F044648"/>
    <w:rsid w:val="6F323720"/>
    <w:rsid w:val="6F40431D"/>
    <w:rsid w:val="6F54191C"/>
    <w:rsid w:val="6F597A6B"/>
    <w:rsid w:val="6F8C0B01"/>
    <w:rsid w:val="6F8F3810"/>
    <w:rsid w:val="6FAC2327"/>
    <w:rsid w:val="6FC939B3"/>
    <w:rsid w:val="6FE23626"/>
    <w:rsid w:val="6FEF189F"/>
    <w:rsid w:val="7004359C"/>
    <w:rsid w:val="70227EC6"/>
    <w:rsid w:val="70521DD4"/>
    <w:rsid w:val="705C08DD"/>
    <w:rsid w:val="705F4C76"/>
    <w:rsid w:val="70633F5D"/>
    <w:rsid w:val="70694D5E"/>
    <w:rsid w:val="708C17E3"/>
    <w:rsid w:val="70ED4274"/>
    <w:rsid w:val="70EE1B56"/>
    <w:rsid w:val="710D38CC"/>
    <w:rsid w:val="712F4D0B"/>
    <w:rsid w:val="713752AB"/>
    <w:rsid w:val="71512177"/>
    <w:rsid w:val="716167CC"/>
    <w:rsid w:val="716A4FB3"/>
    <w:rsid w:val="71713575"/>
    <w:rsid w:val="717E112C"/>
    <w:rsid w:val="71922841"/>
    <w:rsid w:val="71A1306D"/>
    <w:rsid w:val="71A52B5D"/>
    <w:rsid w:val="720158B9"/>
    <w:rsid w:val="720423DF"/>
    <w:rsid w:val="72071122"/>
    <w:rsid w:val="72112733"/>
    <w:rsid w:val="7218067E"/>
    <w:rsid w:val="72203F91"/>
    <w:rsid w:val="722717C4"/>
    <w:rsid w:val="72281251"/>
    <w:rsid w:val="722C27D0"/>
    <w:rsid w:val="72451ECA"/>
    <w:rsid w:val="724939ED"/>
    <w:rsid w:val="724E4899"/>
    <w:rsid w:val="72C04DBB"/>
    <w:rsid w:val="72E34F43"/>
    <w:rsid w:val="72FA0C86"/>
    <w:rsid w:val="72FE628A"/>
    <w:rsid w:val="73022BF1"/>
    <w:rsid w:val="73373C88"/>
    <w:rsid w:val="73414124"/>
    <w:rsid w:val="73551BDC"/>
    <w:rsid w:val="73604987"/>
    <w:rsid w:val="736B4DB1"/>
    <w:rsid w:val="737F61BD"/>
    <w:rsid w:val="738549F4"/>
    <w:rsid w:val="73C20AD7"/>
    <w:rsid w:val="73C628CD"/>
    <w:rsid w:val="73CB2C93"/>
    <w:rsid w:val="73CD595E"/>
    <w:rsid w:val="73D47729"/>
    <w:rsid w:val="73E63385"/>
    <w:rsid w:val="73E63578"/>
    <w:rsid w:val="742C1313"/>
    <w:rsid w:val="74453A5B"/>
    <w:rsid w:val="746D1226"/>
    <w:rsid w:val="748E5B2A"/>
    <w:rsid w:val="74B775E2"/>
    <w:rsid w:val="74B82BA7"/>
    <w:rsid w:val="74C31A3F"/>
    <w:rsid w:val="74CA6118"/>
    <w:rsid w:val="74CB28DA"/>
    <w:rsid w:val="750000AA"/>
    <w:rsid w:val="75135A25"/>
    <w:rsid w:val="75244C71"/>
    <w:rsid w:val="753A58F4"/>
    <w:rsid w:val="75441DF9"/>
    <w:rsid w:val="754E29F1"/>
    <w:rsid w:val="75532688"/>
    <w:rsid w:val="75660938"/>
    <w:rsid w:val="757416BE"/>
    <w:rsid w:val="75832C5E"/>
    <w:rsid w:val="75976C60"/>
    <w:rsid w:val="759B203F"/>
    <w:rsid w:val="759E49A3"/>
    <w:rsid w:val="75FF206C"/>
    <w:rsid w:val="76107B4E"/>
    <w:rsid w:val="762F236A"/>
    <w:rsid w:val="7646510E"/>
    <w:rsid w:val="769054CA"/>
    <w:rsid w:val="76A333E3"/>
    <w:rsid w:val="76B054A4"/>
    <w:rsid w:val="76CF27C0"/>
    <w:rsid w:val="770B7139"/>
    <w:rsid w:val="7743554C"/>
    <w:rsid w:val="775D150D"/>
    <w:rsid w:val="777A01F1"/>
    <w:rsid w:val="779E4D72"/>
    <w:rsid w:val="77A32F0E"/>
    <w:rsid w:val="77BA6C36"/>
    <w:rsid w:val="77BE6726"/>
    <w:rsid w:val="77E01A46"/>
    <w:rsid w:val="77F008AA"/>
    <w:rsid w:val="77F52024"/>
    <w:rsid w:val="783C705B"/>
    <w:rsid w:val="785D5985"/>
    <w:rsid w:val="78916A12"/>
    <w:rsid w:val="789456D9"/>
    <w:rsid w:val="7895340A"/>
    <w:rsid w:val="789631FF"/>
    <w:rsid w:val="789977BD"/>
    <w:rsid w:val="78A136E3"/>
    <w:rsid w:val="78C55892"/>
    <w:rsid w:val="78E8332F"/>
    <w:rsid w:val="78F21B62"/>
    <w:rsid w:val="78F9378E"/>
    <w:rsid w:val="79070151"/>
    <w:rsid w:val="791266D4"/>
    <w:rsid w:val="79235E8B"/>
    <w:rsid w:val="792E3438"/>
    <w:rsid w:val="794B5C15"/>
    <w:rsid w:val="79527B71"/>
    <w:rsid w:val="79822BEC"/>
    <w:rsid w:val="79BC6C95"/>
    <w:rsid w:val="79BF0534"/>
    <w:rsid w:val="7A1940E8"/>
    <w:rsid w:val="7A6834BA"/>
    <w:rsid w:val="7A6A5C57"/>
    <w:rsid w:val="7A777060"/>
    <w:rsid w:val="7AA2326A"/>
    <w:rsid w:val="7AD15246"/>
    <w:rsid w:val="7AD70A92"/>
    <w:rsid w:val="7AE03285"/>
    <w:rsid w:val="7AE364A4"/>
    <w:rsid w:val="7B113011"/>
    <w:rsid w:val="7B2B64FE"/>
    <w:rsid w:val="7B2F0183"/>
    <w:rsid w:val="7B4B6523"/>
    <w:rsid w:val="7B977BD6"/>
    <w:rsid w:val="7B9E336C"/>
    <w:rsid w:val="7BAF0226"/>
    <w:rsid w:val="7BBA37C5"/>
    <w:rsid w:val="7BBC11CF"/>
    <w:rsid w:val="7BC1364B"/>
    <w:rsid w:val="7BFE2DBF"/>
    <w:rsid w:val="7BFF4435"/>
    <w:rsid w:val="7C1E192D"/>
    <w:rsid w:val="7C2154D6"/>
    <w:rsid w:val="7C5D3E2A"/>
    <w:rsid w:val="7CB43C54"/>
    <w:rsid w:val="7CBA7B0A"/>
    <w:rsid w:val="7CC10CFF"/>
    <w:rsid w:val="7CDD764F"/>
    <w:rsid w:val="7CE00EED"/>
    <w:rsid w:val="7CF66FD9"/>
    <w:rsid w:val="7CF918EE"/>
    <w:rsid w:val="7D280584"/>
    <w:rsid w:val="7D2A03BA"/>
    <w:rsid w:val="7D340C9F"/>
    <w:rsid w:val="7D7263B1"/>
    <w:rsid w:val="7DBF0FC7"/>
    <w:rsid w:val="7DDB4B27"/>
    <w:rsid w:val="7DE94B98"/>
    <w:rsid w:val="7E5A4381"/>
    <w:rsid w:val="7E5C0A47"/>
    <w:rsid w:val="7E7F59C1"/>
    <w:rsid w:val="7E867872"/>
    <w:rsid w:val="7E8B4E88"/>
    <w:rsid w:val="7EA763BD"/>
    <w:rsid w:val="7EAE65D2"/>
    <w:rsid w:val="7EC16AFC"/>
    <w:rsid w:val="7EF26CB5"/>
    <w:rsid w:val="7F01514B"/>
    <w:rsid w:val="7F196305"/>
    <w:rsid w:val="7F2552DD"/>
    <w:rsid w:val="7F364DF4"/>
    <w:rsid w:val="7F3C6183"/>
    <w:rsid w:val="7F453591"/>
    <w:rsid w:val="7F671935"/>
    <w:rsid w:val="7F8B4D7A"/>
    <w:rsid w:val="7F965E6D"/>
    <w:rsid w:val="7FE40CF4"/>
    <w:rsid w:val="7FEB11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qFormat="1"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ind w:firstLine="640" w:firstLineChars="200"/>
      <w:jc w:val="both"/>
    </w:pPr>
    <w:rPr>
      <w:rFonts w:ascii="Times New Roman" w:hAnsi="Times New Roman" w:eastAsia="仿宋" w:cs="仿宋"/>
      <w:kern w:val="2"/>
      <w:sz w:val="32"/>
      <w:szCs w:val="32"/>
      <w:lang w:val="en-US" w:eastAsia="zh-CN" w:bidi="ar-SA"/>
    </w:rPr>
  </w:style>
  <w:style w:type="paragraph" w:styleId="3">
    <w:name w:val="heading 1"/>
    <w:basedOn w:val="1"/>
    <w:next w:val="1"/>
    <w:autoRedefine/>
    <w:qFormat/>
    <w:uiPriority w:val="0"/>
    <w:pPr>
      <w:keepNext/>
      <w:numPr>
        <w:ilvl w:val="0"/>
        <w:numId w:val="1"/>
      </w:numPr>
      <w:ind w:firstLine="632"/>
      <w:outlineLvl w:val="0"/>
    </w:pPr>
    <w:rPr>
      <w:rFonts w:ascii="黑体" w:hAnsi="黑体" w:eastAsia="黑体" w:cs="黑体"/>
      <w:kern w:val="44"/>
    </w:rPr>
  </w:style>
  <w:style w:type="paragraph" w:styleId="4">
    <w:name w:val="heading 2"/>
    <w:basedOn w:val="1"/>
    <w:next w:val="1"/>
    <w:link w:val="32"/>
    <w:autoRedefine/>
    <w:unhideWhenUsed/>
    <w:qFormat/>
    <w:uiPriority w:val="0"/>
    <w:pPr>
      <w:numPr>
        <w:ilvl w:val="1"/>
        <w:numId w:val="1"/>
      </w:numPr>
      <w:ind w:firstLine="632"/>
      <w:outlineLvl w:val="1"/>
    </w:pPr>
    <w:rPr>
      <w:rFonts w:eastAsia="楷体" w:cs="Times New Roman"/>
    </w:rPr>
  </w:style>
  <w:style w:type="paragraph" w:styleId="5">
    <w:name w:val="heading 3"/>
    <w:basedOn w:val="1"/>
    <w:next w:val="1"/>
    <w:autoRedefine/>
    <w:unhideWhenUsed/>
    <w:qFormat/>
    <w:uiPriority w:val="0"/>
    <w:pPr>
      <w:numPr>
        <w:ilvl w:val="2"/>
        <w:numId w:val="1"/>
      </w:numPr>
      <w:ind w:firstLine="632"/>
      <w:outlineLvl w:val="2"/>
    </w:pPr>
  </w:style>
  <w:style w:type="paragraph" w:styleId="6">
    <w:name w:val="heading 4"/>
    <w:basedOn w:val="1"/>
    <w:next w:val="1"/>
    <w:autoRedefine/>
    <w:unhideWhenUsed/>
    <w:qFormat/>
    <w:uiPriority w:val="0"/>
    <w:pPr>
      <w:numPr>
        <w:ilvl w:val="3"/>
        <w:numId w:val="1"/>
      </w:numPr>
      <w:ind w:firstLine="632"/>
      <w:outlineLvl w:val="3"/>
    </w:pPr>
    <w:rPr>
      <w:rFonts w:ascii="仿宋" w:hAnsi="仿宋"/>
    </w:rPr>
  </w:style>
  <w:style w:type="paragraph" w:styleId="7">
    <w:name w:val="heading 5"/>
    <w:basedOn w:val="1"/>
    <w:next w:val="1"/>
    <w:autoRedefine/>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autoRedefine/>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autoRedefine/>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autoRedefine/>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28">
    <w:name w:val="Default Paragraph Font"/>
    <w:autoRedefine/>
    <w:semiHidden/>
    <w:unhideWhenUsed/>
    <w:qFormat/>
    <w:uiPriority w:val="1"/>
  </w:style>
  <w:style w:type="table" w:default="1" w:styleId="26">
    <w:name w:val="Normal Table"/>
    <w:autoRedefine/>
    <w:semiHidden/>
    <w:unhideWhenUsed/>
    <w:qFormat/>
    <w:uiPriority w:val="99"/>
    <w:tblPr>
      <w:tblCellMar>
        <w:top w:w="0" w:type="dxa"/>
        <w:left w:w="108" w:type="dxa"/>
        <w:bottom w:w="0" w:type="dxa"/>
        <w:right w:w="108" w:type="dxa"/>
      </w:tblCellMar>
    </w:tblPr>
  </w:style>
  <w:style w:type="paragraph" w:styleId="2">
    <w:name w:val="List"/>
    <w:basedOn w:val="1"/>
    <w:next w:val="1"/>
    <w:autoRedefine/>
    <w:unhideWhenUsed/>
    <w:qFormat/>
    <w:uiPriority w:val="0"/>
    <w:pPr>
      <w:ind w:left="283" w:hanging="283"/>
      <w:contextualSpacing/>
    </w:pPr>
    <w:rPr>
      <w:rFonts w:eastAsia="宋体" w:cs="Times New Roman"/>
      <w:sz w:val="28"/>
      <w:szCs w:val="20"/>
    </w:rPr>
  </w:style>
  <w:style w:type="paragraph" w:styleId="11">
    <w:name w:val="Normal Indent"/>
    <w:basedOn w:val="1"/>
    <w:autoRedefine/>
    <w:qFormat/>
    <w:uiPriority w:val="0"/>
    <w:pPr>
      <w:ind w:firstLine="420"/>
    </w:pPr>
  </w:style>
  <w:style w:type="paragraph" w:styleId="12">
    <w:name w:val="annotation text"/>
    <w:basedOn w:val="1"/>
    <w:autoRedefine/>
    <w:qFormat/>
    <w:uiPriority w:val="0"/>
    <w:pPr>
      <w:jc w:val="left"/>
    </w:pPr>
  </w:style>
  <w:style w:type="paragraph" w:styleId="13">
    <w:name w:val="Body Text"/>
    <w:basedOn w:val="1"/>
    <w:next w:val="1"/>
    <w:autoRedefine/>
    <w:qFormat/>
    <w:uiPriority w:val="1"/>
    <w:rPr>
      <w:rFonts w:ascii="仿宋_GB2312" w:hAnsi="仿宋_GB2312" w:eastAsia="仿宋_GB2312" w:cs="仿宋_GB2312"/>
      <w:lang w:val="zh-CN" w:bidi="zh-CN"/>
    </w:rPr>
  </w:style>
  <w:style w:type="paragraph" w:styleId="14">
    <w:name w:val="Body Text Indent"/>
    <w:basedOn w:val="1"/>
    <w:next w:val="15"/>
    <w:autoRedefine/>
    <w:qFormat/>
    <w:uiPriority w:val="0"/>
    <w:pPr>
      <w:adjustRightInd w:val="0"/>
      <w:snapToGrid w:val="0"/>
      <w:spacing w:line="500" w:lineRule="atLeast"/>
      <w:ind w:firstLine="480"/>
    </w:pPr>
    <w:rPr>
      <w:szCs w:val="20"/>
    </w:rPr>
  </w:style>
  <w:style w:type="paragraph" w:styleId="15">
    <w:name w:val="Body Text First Indent"/>
    <w:basedOn w:val="13"/>
    <w:autoRedefine/>
    <w:qFormat/>
    <w:uiPriority w:val="0"/>
    <w:pPr>
      <w:ind w:firstLine="420" w:firstLineChars="100"/>
    </w:pPr>
    <w:rPr>
      <w:sz w:val="21"/>
      <w:szCs w:val="24"/>
      <w:lang w:eastAsia="ja-JP"/>
    </w:rPr>
  </w:style>
  <w:style w:type="paragraph" w:styleId="16">
    <w:name w:val="Block Text"/>
    <w:basedOn w:val="1"/>
    <w:next w:val="1"/>
    <w:autoRedefine/>
    <w:qFormat/>
    <w:uiPriority w:val="0"/>
    <w:pPr>
      <w:spacing w:after="120"/>
      <w:ind w:left="1440" w:leftChars="700" w:right="1440" w:rightChars="700"/>
    </w:pPr>
  </w:style>
  <w:style w:type="paragraph" w:styleId="17">
    <w:name w:val="Body Text Indent 2"/>
    <w:basedOn w:val="1"/>
    <w:autoRedefine/>
    <w:unhideWhenUsed/>
    <w:qFormat/>
    <w:uiPriority w:val="99"/>
    <w:pPr>
      <w:spacing w:after="120" w:line="480" w:lineRule="auto"/>
      <w:ind w:left="420" w:leftChars="200"/>
    </w:pPr>
  </w:style>
  <w:style w:type="paragraph" w:styleId="18">
    <w:name w:val="Balloon Text"/>
    <w:basedOn w:val="1"/>
    <w:link w:val="64"/>
    <w:autoRedefine/>
    <w:qFormat/>
    <w:uiPriority w:val="0"/>
    <w:rPr>
      <w:sz w:val="18"/>
      <w:szCs w:val="18"/>
    </w:rPr>
  </w:style>
  <w:style w:type="paragraph" w:styleId="19">
    <w:name w:val="footer"/>
    <w:basedOn w:val="1"/>
    <w:autoRedefine/>
    <w:qFormat/>
    <w:uiPriority w:val="0"/>
    <w:pPr>
      <w:tabs>
        <w:tab w:val="center" w:pos="4153"/>
        <w:tab w:val="right" w:pos="8306"/>
      </w:tabs>
      <w:snapToGrid w:val="0"/>
      <w:ind w:firstLine="0" w:firstLineChars="0"/>
      <w:jc w:val="left"/>
    </w:pPr>
    <w:rPr>
      <w:rFonts w:ascii="宋体" w:hAnsi="宋体" w:eastAsia="宋体"/>
      <w:sz w:val="28"/>
    </w:rPr>
  </w:style>
  <w:style w:type="paragraph" w:styleId="2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eastAsia="宋体"/>
      <w:sz w:val="21"/>
    </w:rPr>
  </w:style>
  <w:style w:type="paragraph" w:styleId="21">
    <w:name w:val="toc 1"/>
    <w:basedOn w:val="1"/>
    <w:next w:val="1"/>
    <w:autoRedefine/>
    <w:qFormat/>
    <w:uiPriority w:val="0"/>
  </w:style>
  <w:style w:type="paragraph" w:styleId="22">
    <w:name w:val="Body Text Indent 3"/>
    <w:basedOn w:val="1"/>
    <w:autoRedefine/>
    <w:unhideWhenUsed/>
    <w:qFormat/>
    <w:uiPriority w:val="0"/>
    <w:pPr>
      <w:spacing w:after="120"/>
      <w:ind w:left="420" w:leftChars="200"/>
    </w:pPr>
    <w:rPr>
      <w:sz w:val="16"/>
      <w:szCs w:val="16"/>
    </w:rPr>
  </w:style>
  <w:style w:type="paragraph" w:styleId="23">
    <w:name w:val="toc 2"/>
    <w:basedOn w:val="1"/>
    <w:next w:val="1"/>
    <w:autoRedefine/>
    <w:qFormat/>
    <w:uiPriority w:val="0"/>
    <w:pPr>
      <w:ind w:left="420" w:leftChars="200"/>
    </w:pPr>
  </w:style>
  <w:style w:type="paragraph" w:styleId="24">
    <w:name w:val="Normal (Web)"/>
    <w:basedOn w:val="1"/>
    <w:autoRedefine/>
    <w:qFormat/>
    <w:uiPriority w:val="0"/>
    <w:pPr>
      <w:spacing w:before="100" w:beforeAutospacing="1" w:after="100" w:afterAutospacing="1"/>
      <w:jc w:val="left"/>
    </w:pPr>
    <w:rPr>
      <w:rFonts w:cs="Times New Roman"/>
      <w:kern w:val="0"/>
      <w:sz w:val="24"/>
    </w:rPr>
  </w:style>
  <w:style w:type="paragraph" w:styleId="25">
    <w:name w:val="Body Text First Indent 2"/>
    <w:basedOn w:val="14"/>
    <w:next w:val="13"/>
    <w:autoRedefine/>
    <w:unhideWhenUsed/>
    <w:qFormat/>
    <w:uiPriority w:val="99"/>
    <w:pPr>
      <w:ind w:firstLine="420"/>
    </w:pPr>
  </w:style>
  <w:style w:type="table" w:styleId="27">
    <w:name w:val="Table Grid"/>
    <w:basedOn w:val="2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page number"/>
    <w:basedOn w:val="28"/>
    <w:autoRedefine/>
    <w:qFormat/>
    <w:uiPriority w:val="0"/>
    <w:rPr>
      <w:rFonts w:ascii="Times New Roman" w:hAnsi="Times New Roman" w:eastAsia="宋体"/>
      <w:sz w:val="28"/>
    </w:rPr>
  </w:style>
  <w:style w:type="character" w:styleId="30">
    <w:name w:val="FollowedHyperlink"/>
    <w:basedOn w:val="28"/>
    <w:autoRedefine/>
    <w:qFormat/>
    <w:uiPriority w:val="0"/>
    <w:rPr>
      <w:color w:val="4A4A4A"/>
      <w:u w:val="none"/>
    </w:rPr>
  </w:style>
  <w:style w:type="character" w:styleId="31">
    <w:name w:val="Hyperlink"/>
    <w:basedOn w:val="28"/>
    <w:autoRedefine/>
    <w:qFormat/>
    <w:uiPriority w:val="0"/>
    <w:rPr>
      <w:color w:val="4A4A4A"/>
      <w:u w:val="none"/>
    </w:rPr>
  </w:style>
  <w:style w:type="character" w:customStyle="1" w:styleId="32">
    <w:name w:val="标题 2 Char"/>
    <w:link w:val="4"/>
    <w:autoRedefine/>
    <w:qFormat/>
    <w:uiPriority w:val="0"/>
    <w:rPr>
      <w:rFonts w:ascii="Times New Roman" w:hAnsi="Times New Roman" w:eastAsia="楷体" w:cs="Times New Roman"/>
      <w:sz w:val="32"/>
    </w:rPr>
  </w:style>
  <w:style w:type="paragraph" w:customStyle="1" w:styleId="33">
    <w:name w:val="正文大标题"/>
    <w:basedOn w:val="1"/>
    <w:autoRedefine/>
    <w:qFormat/>
    <w:uiPriority w:val="0"/>
    <w:pPr>
      <w:snapToGrid w:val="0"/>
      <w:ind w:firstLine="0" w:firstLineChars="0"/>
      <w:jc w:val="center"/>
    </w:pPr>
    <w:rPr>
      <w:rFonts w:eastAsia="微软雅黑"/>
      <w:sz w:val="44"/>
    </w:rPr>
  </w:style>
  <w:style w:type="paragraph" w:customStyle="1" w:styleId="34">
    <w:name w:val="封面标题"/>
    <w:basedOn w:val="1"/>
    <w:autoRedefine/>
    <w:qFormat/>
    <w:uiPriority w:val="0"/>
    <w:pPr>
      <w:snapToGrid w:val="0"/>
      <w:ind w:firstLine="0" w:firstLineChars="0"/>
      <w:jc w:val="center"/>
    </w:pPr>
    <w:rPr>
      <w:rFonts w:eastAsia="微软雅黑"/>
      <w:sz w:val="52"/>
    </w:rPr>
  </w:style>
  <w:style w:type="paragraph" w:customStyle="1" w:styleId="35">
    <w:name w:val="封面落款"/>
    <w:basedOn w:val="1"/>
    <w:autoRedefine/>
    <w:qFormat/>
    <w:uiPriority w:val="0"/>
    <w:pPr>
      <w:ind w:firstLine="0" w:firstLineChars="0"/>
      <w:jc w:val="center"/>
    </w:pPr>
    <w:rPr>
      <w:rFonts w:eastAsia="宋体"/>
      <w:sz w:val="36"/>
    </w:rPr>
  </w:style>
  <w:style w:type="paragraph" w:customStyle="1" w:styleId="36">
    <w:name w:val="表格内容"/>
    <w:basedOn w:val="1"/>
    <w:autoRedefine/>
    <w:qFormat/>
    <w:uiPriority w:val="0"/>
    <w:pPr>
      <w:snapToGrid w:val="0"/>
      <w:ind w:firstLine="0" w:firstLineChars="0"/>
      <w:jc w:val="center"/>
    </w:pPr>
    <w:rPr>
      <w:rFonts w:eastAsia="宋体"/>
      <w:sz w:val="24"/>
    </w:rPr>
  </w:style>
  <w:style w:type="paragraph" w:customStyle="1" w:styleId="37">
    <w:name w:val="目录标题"/>
    <w:basedOn w:val="1"/>
    <w:link w:val="39"/>
    <w:autoRedefine/>
    <w:qFormat/>
    <w:uiPriority w:val="0"/>
    <w:pPr>
      <w:ind w:firstLine="0" w:firstLineChars="0"/>
      <w:jc w:val="center"/>
    </w:pPr>
    <w:rPr>
      <w:rFonts w:eastAsia="黑体"/>
      <w:sz w:val="36"/>
    </w:rPr>
  </w:style>
  <w:style w:type="paragraph" w:customStyle="1" w:styleId="38">
    <w:name w:val="WPSOffice手动目录 1"/>
    <w:autoRedefine/>
    <w:qFormat/>
    <w:uiPriority w:val="0"/>
    <w:rPr>
      <w:rFonts w:ascii="Calibri" w:hAnsi="Calibri" w:eastAsia="宋体" w:cs="Times New Roman"/>
      <w:lang w:val="en-US" w:eastAsia="zh-CN" w:bidi="ar-SA"/>
    </w:rPr>
  </w:style>
  <w:style w:type="character" w:customStyle="1" w:styleId="39">
    <w:name w:val="目录标题 Char"/>
    <w:link w:val="37"/>
    <w:autoRedefine/>
    <w:qFormat/>
    <w:uiPriority w:val="0"/>
    <w:rPr>
      <w:rFonts w:eastAsia="黑体"/>
      <w:sz w:val="36"/>
    </w:rPr>
  </w:style>
  <w:style w:type="character" w:customStyle="1" w:styleId="40">
    <w:name w:val="titbg1"/>
    <w:basedOn w:val="28"/>
    <w:autoRedefine/>
    <w:qFormat/>
    <w:uiPriority w:val="0"/>
    <w:rPr>
      <w:shd w:val="clear" w:color="auto" w:fill="378ED7"/>
    </w:rPr>
  </w:style>
  <w:style w:type="character" w:customStyle="1" w:styleId="41">
    <w:name w:val="附件 Char"/>
    <w:link w:val="42"/>
    <w:autoRedefine/>
    <w:qFormat/>
    <w:uiPriority w:val="0"/>
    <w:rPr>
      <w:rFonts w:ascii="黑体" w:hAnsi="黑体" w:eastAsia="黑体"/>
    </w:rPr>
  </w:style>
  <w:style w:type="paragraph" w:customStyle="1" w:styleId="42">
    <w:name w:val="附件"/>
    <w:basedOn w:val="1"/>
    <w:link w:val="41"/>
    <w:autoRedefine/>
    <w:qFormat/>
    <w:uiPriority w:val="0"/>
    <w:pPr>
      <w:ind w:firstLine="0" w:firstLineChars="0"/>
    </w:pPr>
    <w:rPr>
      <w:rFonts w:ascii="黑体" w:hAnsi="黑体" w:eastAsia="黑体"/>
    </w:rPr>
  </w:style>
  <w:style w:type="character" w:customStyle="1" w:styleId="43">
    <w:name w:val="titbg2"/>
    <w:basedOn w:val="28"/>
    <w:autoRedefine/>
    <w:qFormat/>
    <w:uiPriority w:val="0"/>
    <w:rPr>
      <w:shd w:val="clear" w:color="auto" w:fill="378ED7"/>
    </w:rPr>
  </w:style>
  <w:style w:type="paragraph" w:customStyle="1" w:styleId="44">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45">
    <w:name w:val="封面副标题"/>
    <w:basedOn w:val="34"/>
    <w:autoRedefine/>
    <w:qFormat/>
    <w:uiPriority w:val="0"/>
    <w:rPr>
      <w:sz w:val="44"/>
    </w:rPr>
  </w:style>
  <w:style w:type="paragraph" w:customStyle="1" w:styleId="46">
    <w:name w:val="注文"/>
    <w:basedOn w:val="1"/>
    <w:autoRedefine/>
    <w:qFormat/>
    <w:uiPriority w:val="0"/>
    <w:pPr>
      <w:snapToGrid w:val="0"/>
      <w:ind w:firstLine="0" w:firstLineChars="0"/>
    </w:pPr>
    <w:rPr>
      <w:rFonts w:eastAsia="宋体"/>
      <w:sz w:val="24"/>
    </w:rPr>
  </w:style>
  <w:style w:type="paragraph" w:customStyle="1" w:styleId="47">
    <w:name w:val="textaligncenter"/>
    <w:basedOn w:val="1"/>
    <w:autoRedefine/>
    <w:qFormat/>
    <w:uiPriority w:val="0"/>
    <w:pPr>
      <w:jc w:val="center"/>
    </w:pPr>
    <w:rPr>
      <w:rFonts w:cs="Times New Roman"/>
      <w:kern w:val="0"/>
    </w:rPr>
  </w:style>
  <w:style w:type="paragraph" w:customStyle="1" w:styleId="48">
    <w:name w:val="正文-公1"/>
    <w:basedOn w:val="1"/>
    <w:autoRedefine/>
    <w:qFormat/>
    <w:uiPriority w:val="0"/>
    <w:pPr>
      <w:ind w:firstLine="200"/>
    </w:pPr>
    <w:rPr>
      <w:rFonts w:ascii="Calibri" w:hAnsi="Calibri" w:cs="Calibri"/>
      <w:color w:val="000000"/>
      <w:szCs w:val="21"/>
    </w:rPr>
  </w:style>
  <w:style w:type="paragraph" w:customStyle="1" w:styleId="49">
    <w:name w:val="正文图表标题"/>
    <w:basedOn w:val="1"/>
    <w:autoRedefine/>
    <w:qFormat/>
    <w:uiPriority w:val="0"/>
    <w:pPr>
      <w:spacing w:line="560" w:lineRule="exact"/>
      <w:ind w:firstLine="0" w:firstLineChars="0"/>
      <w:jc w:val="center"/>
    </w:pPr>
    <w:rPr>
      <w:rFonts w:eastAsia="宋体"/>
      <w:sz w:val="28"/>
    </w:rPr>
  </w:style>
  <w:style w:type="paragraph" w:customStyle="1" w:styleId="50">
    <w:name w:val="图"/>
    <w:basedOn w:val="1"/>
    <w:autoRedefine/>
    <w:qFormat/>
    <w:uiPriority w:val="0"/>
    <w:pPr>
      <w:spacing w:beforeLines="50"/>
      <w:ind w:firstLine="0" w:firstLineChars="0"/>
      <w:jc w:val="center"/>
    </w:pPr>
  </w:style>
  <w:style w:type="paragraph" w:customStyle="1" w:styleId="51">
    <w:name w:val="Table Paragraph"/>
    <w:basedOn w:val="1"/>
    <w:autoRedefine/>
    <w:qFormat/>
    <w:uiPriority w:val="1"/>
    <w:pPr>
      <w:spacing w:before="73"/>
      <w:ind w:left="28"/>
      <w:jc w:val="center"/>
    </w:pPr>
    <w:rPr>
      <w:rFonts w:ascii="仿宋_GB2312" w:hAnsi="仿宋_GB2312" w:eastAsia="仿宋_GB2312" w:cs="仿宋_GB2312"/>
      <w:lang w:val="zh-CN" w:bidi="zh-CN"/>
    </w:rPr>
  </w:style>
  <w:style w:type="paragraph" w:customStyle="1" w:styleId="52">
    <w:name w:val="附件标题"/>
    <w:basedOn w:val="1"/>
    <w:autoRedefine/>
    <w:qFormat/>
    <w:uiPriority w:val="0"/>
    <w:pPr>
      <w:ind w:firstLine="0" w:firstLineChars="0"/>
      <w:jc w:val="center"/>
    </w:pPr>
    <w:rPr>
      <w:rFonts w:eastAsia="微软雅黑"/>
      <w:sz w:val="36"/>
    </w:rPr>
  </w:style>
  <w:style w:type="paragraph" w:customStyle="1" w:styleId="53">
    <w:name w:val="表头"/>
    <w:basedOn w:val="1"/>
    <w:autoRedefine/>
    <w:qFormat/>
    <w:uiPriority w:val="0"/>
    <w:pPr>
      <w:snapToGrid w:val="0"/>
      <w:ind w:firstLine="0" w:firstLineChars="0"/>
      <w:jc w:val="center"/>
    </w:pPr>
    <w:rPr>
      <w:rFonts w:eastAsia="宋体"/>
      <w:b/>
      <w:sz w:val="24"/>
    </w:rPr>
  </w:style>
  <w:style w:type="paragraph" w:customStyle="1" w:styleId="54">
    <w:name w:val="Body text|1"/>
    <w:basedOn w:val="1"/>
    <w:autoRedefine/>
    <w:qFormat/>
    <w:uiPriority w:val="0"/>
    <w:pPr>
      <w:spacing w:line="449" w:lineRule="auto"/>
      <w:ind w:firstLine="400"/>
    </w:pPr>
    <w:rPr>
      <w:rFonts w:ascii="宋体" w:hAnsi="宋体" w:eastAsia="宋体" w:cs="宋体"/>
      <w:sz w:val="28"/>
      <w:szCs w:val="28"/>
      <w:lang w:val="zh-TW" w:eastAsia="zh-TW" w:bidi="zh-TW"/>
    </w:rPr>
  </w:style>
  <w:style w:type="table" w:customStyle="1" w:styleId="55">
    <w:name w:val="Table Normal"/>
    <w:autoRedefine/>
    <w:semiHidden/>
    <w:unhideWhenUsed/>
    <w:qFormat/>
    <w:uiPriority w:val="0"/>
    <w:tblPr>
      <w:tblCellMar>
        <w:top w:w="0" w:type="dxa"/>
        <w:left w:w="0" w:type="dxa"/>
        <w:bottom w:w="0" w:type="dxa"/>
        <w:right w:w="0" w:type="dxa"/>
      </w:tblCellMar>
    </w:tblPr>
  </w:style>
  <w:style w:type="character" w:customStyle="1" w:styleId="56">
    <w:name w:val="15"/>
    <w:basedOn w:val="28"/>
    <w:autoRedefine/>
    <w:qFormat/>
    <w:uiPriority w:val="0"/>
    <w:rPr>
      <w:rFonts w:hint="default" w:ascii="Times New Roman" w:hAnsi="Times New Roman" w:eastAsia="宋体" w:cs="Times New Roman"/>
      <w:sz w:val="28"/>
      <w:szCs w:val="28"/>
    </w:rPr>
  </w:style>
  <w:style w:type="character" w:customStyle="1" w:styleId="57">
    <w:name w:val="10"/>
    <w:basedOn w:val="28"/>
    <w:autoRedefine/>
    <w:qFormat/>
    <w:uiPriority w:val="0"/>
    <w:rPr>
      <w:rFonts w:hint="default" w:ascii="Times New Roman" w:hAnsi="Times New Roman" w:cs="Times New Roman"/>
    </w:rPr>
  </w:style>
  <w:style w:type="paragraph" w:customStyle="1" w:styleId="58">
    <w:name w:val="默认段落字体 Para Char Char Char Char"/>
    <w:basedOn w:val="1"/>
    <w:autoRedefine/>
    <w:qFormat/>
    <w:uiPriority w:val="0"/>
    <w:rPr>
      <w:szCs w:val="24"/>
    </w:rPr>
  </w:style>
  <w:style w:type="paragraph" w:customStyle="1" w:styleId="59">
    <w:name w:val="p0"/>
    <w:basedOn w:val="1"/>
    <w:autoRedefine/>
    <w:qFormat/>
    <w:uiPriority w:val="0"/>
    <w:rPr>
      <w:szCs w:val="21"/>
    </w:rPr>
  </w:style>
  <w:style w:type="paragraph" w:customStyle="1" w:styleId="60">
    <w:name w:val="段"/>
    <w:autoRedefine/>
    <w:qFormat/>
    <w:uiPriority w:val="0"/>
    <w:pPr>
      <w:autoSpaceDE w:val="0"/>
      <w:autoSpaceDN w:val="0"/>
      <w:ind w:firstLine="200" w:firstLineChars="200"/>
      <w:jc w:val="both"/>
    </w:pPr>
    <w:rPr>
      <w:rFonts w:ascii="宋体" w:hAnsi="Times New Roman" w:eastAsia="宋体" w:cs="Times New Roman"/>
      <w:kern w:val="2"/>
      <w:sz w:val="22"/>
      <w:szCs w:val="22"/>
      <w:lang w:val="en-US" w:eastAsia="zh-CN" w:bidi="ar-SA"/>
    </w:rPr>
  </w:style>
  <w:style w:type="paragraph" w:styleId="61">
    <w:name w:val="List Paragraph"/>
    <w:basedOn w:val="1"/>
    <w:autoRedefine/>
    <w:qFormat/>
    <w:uiPriority w:val="34"/>
    <w:pPr>
      <w:ind w:firstLine="420"/>
    </w:pPr>
  </w:style>
  <w:style w:type="character" w:customStyle="1" w:styleId="62">
    <w:name w:val="zw1"/>
    <w:basedOn w:val="28"/>
    <w:autoRedefine/>
    <w:qFormat/>
    <w:uiPriority w:val="0"/>
    <w:rPr>
      <w:rFonts w:hint="eastAsia" w:ascii="宋体" w:hAnsi="宋体" w:eastAsia="宋体"/>
      <w:sz w:val="22"/>
      <w:szCs w:val="22"/>
    </w:rPr>
  </w:style>
  <w:style w:type="paragraph" w:customStyle="1" w:styleId="63">
    <w:name w:val="zw"/>
    <w:basedOn w:val="1"/>
    <w:autoRedefine/>
    <w:qFormat/>
    <w:uiPriority w:val="0"/>
    <w:pPr>
      <w:widowControl/>
      <w:spacing w:before="100" w:beforeAutospacing="1" w:after="100" w:afterAutospacing="1" w:line="440" w:lineRule="atLeast"/>
      <w:jc w:val="left"/>
    </w:pPr>
    <w:rPr>
      <w:rFonts w:ascii="宋体" w:hAnsi="宋体" w:cs="宋体"/>
      <w:kern w:val="0"/>
      <w:sz w:val="22"/>
      <w:szCs w:val="22"/>
    </w:rPr>
  </w:style>
  <w:style w:type="character" w:customStyle="1" w:styleId="64">
    <w:name w:val="批注框文本 Char"/>
    <w:basedOn w:val="28"/>
    <w:link w:val="18"/>
    <w:autoRedefine/>
    <w:qFormat/>
    <w:uiPriority w:val="0"/>
    <w:rPr>
      <w:rFonts w:eastAsia="仿宋" w:cs="仿宋"/>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29</Pages>
  <Words>4401</Words>
  <Characters>4648</Characters>
  <Lines>89</Lines>
  <Paragraphs>25</Paragraphs>
  <TotalTime>14</TotalTime>
  <ScaleCrop>false</ScaleCrop>
  <LinksUpToDate>false</LinksUpToDate>
  <CharactersWithSpaces>4807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Robby 俊姣</cp:lastModifiedBy>
  <cp:lastPrinted>2023-08-25T03:25:00Z</cp:lastPrinted>
  <dcterms:modified xsi:type="dcterms:W3CDTF">2025-04-08T01:16:24Z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93E2C06C19014969A708B85F424F27C6</vt:lpwstr>
  </property>
  <property fmtid="{D5CDD505-2E9C-101B-9397-08002B2CF9AE}" pid="4" name="KSOTemplateDocerSaveRecord">
    <vt:lpwstr>eyJoZGlkIjoiMThjMTk3YjE5MjE5ZTdhYTQ3NmNlNzVhMWE4NWM2Y2YiLCJ1c2VySWQiOiIyNjcwMjEyMzIifQ==</vt:lpwstr>
  </property>
</Properties>
</file>