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CoverTitle"/>
      </w:pPr>
      <w:r>
        <w:t>测试公司</w:t>
      </w:r>
    </w:p>
    <w:p>
      <w:pPr>
        <w:pStyle w:val="CoverTitle"/>
      </w:pPr>
      <w:r>
        <w:t>生产安全事故应急预案</w:t>
      </w:r>
    </w:p>
    <w:p/>
    <w:p/>
    <w:p/>
    <w:p/>
    <w:p/>
    <w:p>
      <w:pPr>
        <w:pStyle w:val="CoverSign"/>
      </w:pPr>
      <w:r>
        <w:rPr>
          <w:rFonts w:ascii="黑体" w:hAnsi="黑体" w:eastAsia="黑体"/>
        </w:rPr>
        <w:t>测试公司</w:t>
      </w:r>
    </w:p>
    <w:p>
      <w:pPr>
        <w:jc w:val="center"/>
      </w:pPr>
      <w:r>
        <w:rPr>
          <w:rFonts w:ascii="黑体" w:hAnsi="黑体" w:eastAsia="黑体"/>
          <w:sz w:val="36"/>
        </w:rPr>
        <w:t>2026年06月</w:t>
      </w:r>
    </w:p>
    <w:p>
      <w:r>
        <w:br w:type="page"/>
      </w:r>
    </w:p>
    <w:p>
      <w:pPr>
        <w:pStyle w:val="CoverSign"/>
        <w:spacing w:after="480"/>
      </w:pPr>
      <w:r>
        <w:rPr>
          <w:rFonts w:ascii="宋体" w:hAnsi="宋体" w:eastAsia="宋体"/>
          <w:b/>
        </w:rPr>
        <w:t>批准页</w:t>
      </w:r>
    </w:p>
    <w:p>
      <w:pPr>
        <w:ind w:firstLine="640"/>
      </w:pPr>
      <w:r>
        <w:rPr>
          <w:rFonts w:ascii="仿宋" w:hAnsi="仿宋" w:eastAsia="仿宋"/>
          <w:b w:val="0"/>
          <w:sz w:val="32"/>
        </w:rPr>
        <w:t>为贯彻落实《中华人民共和国安全生产法》及其他法律法规和有关文件要求，结合测试公司的安全生产实际和危险性分析及本行业事故案例情况内容，依据《中华人民共和国突发事件应对法》（中华人民共和国主席令第69号）《生产经营单位生产安全事故应急预案编制导则》（GB/T 29639-2020）《生产安全事故应急预案管理办法》（国家应急管理部令第2号）《生产安全事故应急条例》（国务院令第708号）</w:t>
      </w:r>
    </w:p>
    <w:p>
      <w:pPr>
        <w:ind w:firstLine="640"/>
      </w:pPr>
      <w:r>
        <w:rPr>
          <w:rFonts w:ascii="仿宋" w:hAnsi="仿宋" w:eastAsia="仿宋"/>
          <w:b w:val="0"/>
          <w:sz w:val="32"/>
        </w:rPr>
        <w:t>《生产安全事故应急预案》由《综合应急预案》《专项应急预案》和《现场处置方案》组成，我公司邀请相关专家召开了专家评审会议，并通过专家评审，现予以发布，自发布之日起实施。</w:t>
      </w:r>
    </w:p>
    <w:p>
      <w:pPr>
        <w:ind w:firstLine="640"/>
      </w:pPr>
      <w:r>
        <w:rPr>
          <w:rFonts w:ascii="仿宋" w:hAnsi="仿宋" w:eastAsia="仿宋"/>
          <w:b w:val="0"/>
          <w:sz w:val="32"/>
        </w:rPr>
        <w:t>望各部门及全体员工认真学习该预案内容，熟悉预案程序，并严格遵守执行。</w:t>
      </w:r>
    </w:p>
    <w:p/>
    <w:p>
      <w:pPr>
        <w:ind w:firstLine="620"/>
      </w:pPr>
      <w:r>
        <w:rPr>
          <w:rFonts w:ascii="仿宋" w:hAnsi="仿宋" w:eastAsia="仿宋"/>
          <w:b w:val="0"/>
          <w:sz w:val="32"/>
        </w:rPr>
        <w:t>主要负责人（签字）：</w:t>
      </w:r>
    </w:p>
    <w:p>
      <w:pPr>
        <w:ind w:firstLine="620"/>
      </w:pPr>
      <w:r>
        <w:rPr>
          <w:rFonts w:ascii="仿宋" w:hAnsi="仿宋" w:eastAsia="仿宋"/>
          <w:b w:val="0"/>
          <w:sz w:val="32"/>
        </w:rPr>
        <w:t>日期：　　　年　　　月　　　日</w:t>
      </w:r>
    </w:p>
    <w:p>
      <w:pPr>
        <w:sectPr>
          <w:pgSz w:w="12240" w:h="15840"/>
          <w:pgMar w:top="2098" w:right="1474" w:bottom="1984" w:left="1587" w:header="720" w:footer="720" w:gutter="0"/>
          <w:cols w:space="720"/>
          <w:docGrid w:linePitch="360"/>
        </w:sectPr>
      </w:pPr>
    </w:p>
    <w:p>
      <w:r>
        <w:br w:type="page"/>
      </w:r>
    </w:p>
    <w:p>
      <w:pPr>
        <w:pStyle w:val="BodyTitle"/>
      </w:pPr>
      <w:r>
        <w:t>综合应急预案</w:t>
      </w:r>
    </w:p>
    <w:p>
      <w:pPr>
        <w:pStyle w:val="Heading2"/>
        <w:ind w:firstLine="632"/>
      </w:pPr>
      <w:r>
        <w:t>测试章节</w:t>
      </w:r>
    </w:p>
    <w:p>
      <w:pPr>
        <w:ind w:firstLine="640"/>
      </w:pPr>
      <w:r>
        <w:t>测试正文内容</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eastAsia="仿宋" w:cs="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96000" w:after="1524000"/>
      <w:ind w:firstLine="632"/>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4572000" w:after="1524000"/>
      <w:ind w:firstLine="632"/>
      <w:outlineLvl w:val="1"/>
    </w:pPr>
    <w:rPr>
      <w:rFonts w:asciiTheme="majorHAnsi" w:eastAsiaTheme="majorEastAsia" w:hAnsiTheme="majorHAnsi" w:cstheme="majorBidi" w:ascii="宋体" w:hAnsi="宋体" w:eastAsia="宋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048000" w:after="1016000"/>
      <w:ind w:firstLine="632"/>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32000" w:after="1016000"/>
      <w:ind w:firstLine="632"/>
      <w:outlineLvl w:val="3"/>
    </w:pPr>
    <w:rPr>
      <w:rFonts w:asciiTheme="majorHAnsi" w:eastAsiaTheme="majorEastAsia" w:hAnsiTheme="majorHAnsi" w:cstheme="majorBidi" w:ascii="仿宋" w:hAnsi="仿宋" w:eastAsia="仿宋"/>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ind w:firstLine="640"/>
    </w:pPr>
    <w:rPr>
      <w:rFonts w:ascii="仿宋_GB2312" w:hAnsi="仿宋_GB2312" w:eastAsia="仿宋_GB2312"/>
      <w:sz w:val="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spacing w:before="0" w:after="0"/>
      <w:jc w:val="center"/>
    </w:pPr>
    <w:rPr>
      <w:rFonts w:ascii="宋体" w:hAnsi="宋体" w:eastAsia="宋体"/>
      <w:sz w:val="52"/>
    </w:rPr>
  </w:style>
  <w:style w:type="paragraph" w:customStyle="1" w:styleId="CoverSign">
    <w:name w:val="Cover Sign"/>
    <w:basedOn w:val="Normal"/>
    <w:pPr>
      <w:spacing w:before="0" w:after="0"/>
      <w:jc w:val="center"/>
    </w:pPr>
    <w:rPr>
      <w:rFonts w:ascii="仿宋" w:hAnsi="仿宋" w:eastAsia="仿宋"/>
      <w:sz w:val="36"/>
    </w:rPr>
  </w:style>
  <w:style w:type="paragraph" w:customStyle="1" w:styleId="BodyTitle">
    <w:name w:val="Body Title"/>
    <w:basedOn w:val="Normal"/>
    <w:pPr>
      <w:spacing w:before="6096000" w:after="3048000"/>
      <w:jc w:val="center"/>
    </w:pPr>
    <w:rPr>
      <w:rFonts w:ascii="宋体" w:hAnsi="宋体" w:eastAsia="宋体"/>
      <w:b/>
      <w:sz w:val="44"/>
    </w:rPr>
  </w:style>
  <w:style w:type="paragraph" w:customStyle="1" w:styleId="IDX-B">
    <w:name w:val="IDX-B"/>
    <w:basedOn w:val="Normal"/>
    <w:pPr>
      <w:ind w:firstLine="0"/>
    </w:pPr>
    <w:rPr>
      <w:rFonts w:ascii="華康中楷體" w:hAnsi="華康中楷體" w:eastAsia="華康中楷體"/>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