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宋体" w:hAnsi="宋体" w:eastAsia="宋体"/>
          <w:b/>
          <w:sz w:val="28"/>
        </w:rPr>
        <w:t>应急预案编号：XXZYT-YA-001　　　　应急预案版本号：A-2024-04</w:t>
      </w:r>
    </w:p>
    <w:p/>
    <w:p/>
    <w:p/>
    <w:p/>
    <w:p/>
    <w:p/>
    <w:p>
      <w:pPr>
        <w:pStyle w:val="CoverTitle"/>
      </w:pPr>
      <w:r>
        <w:t>西安新兴紫楹台酒店有限公司</w:t>
      </w:r>
    </w:p>
    <w:p>
      <w:pPr>
        <w:pStyle w:val="CoverTitle"/>
      </w:pPr>
      <w:r>
        <w:t>生产安全事故应急预案</w:t>
      </w:r>
    </w:p>
    <w:p/>
    <w:p/>
    <w:p/>
    <w:p/>
    <w:p/>
    <w:p>
      <w:pPr>
        <w:pStyle w:val="CoverSign"/>
      </w:pPr>
      <w:r>
        <w:rPr>
          <w:rFonts w:ascii="黑体" w:hAnsi="黑体" w:eastAsia="黑体"/>
        </w:rPr>
        <w:t>西安新兴紫楹台酒店有限公司</w:t>
      </w:r>
    </w:p>
    <w:p>
      <w:pPr>
        <w:jc w:val="center"/>
      </w:pPr>
      <w:r>
        <w:rPr>
          <w:rFonts w:ascii="黑体" w:hAnsi="黑体" w:eastAsia="黑体"/>
          <w:sz w:val="36"/>
        </w:rPr>
        <w:t>2026年06月</w:t>
      </w:r>
    </w:p>
    <w:p>
      <w:r>
        <w:br w:type="page"/>
      </w:r>
    </w:p>
    <w:p>
      <w:pPr>
        <w:pStyle w:val="CoverSign"/>
        <w:spacing w:after="480"/>
      </w:pPr>
      <w:r>
        <w:rPr>
          <w:rFonts w:ascii="宋体" w:hAnsi="宋体" w:eastAsia="宋体"/>
          <w:b/>
        </w:rPr>
        <w:t>批准页</w:t>
      </w:r>
    </w:p>
    <w:p>
      <w:pPr>
        <w:ind w:firstLine="640"/>
      </w:pPr>
      <w:r>
        <w:rPr>
          <w:rFonts w:ascii="仿宋" w:hAnsi="仿宋" w:eastAsia="仿宋"/>
          <w:b w:val="0"/>
          <w:sz w:val="32"/>
        </w:rPr>
        <w:t>为贯彻落实《中华人民共和国安全生产法》及其他法律法规和有关文件要求，结合西安新兴紫楹台酒店有限公司的安全生产实际和危险性分析及本行业事故案例情况内容，依据《中华人民共和国突发事件应对法》（中华人民共和国主席令第69号）《生产经营单位生产安全事故应急预案编制导则》（GB/T 29639-2020）《生产安全事故应急预案管理办法》（国家应急管理部令第2号）《生产安全事故应急条例》（国务院令第708号）</w:t>
      </w:r>
    </w:p>
    <w:p>
      <w:pPr>
        <w:ind w:firstLine="640"/>
      </w:pPr>
      <w:r>
        <w:rPr>
          <w:rFonts w:ascii="仿宋" w:hAnsi="仿宋" w:eastAsia="仿宋"/>
          <w:b w:val="0"/>
          <w:sz w:val="32"/>
        </w:rPr>
        <w:t>《生产安全事故应急预案》由《综合应急预案》《专项应急预案》和《现场处置方案》组成，我公司邀请相关专家召开了专家评审会议，并通过专家评审，现予以发布，自发布之日起实施。</w:t>
      </w:r>
    </w:p>
    <w:p>
      <w:pPr>
        <w:ind w:firstLine="640"/>
      </w:pPr>
      <w:r>
        <w:rPr>
          <w:rFonts w:ascii="仿宋" w:hAnsi="仿宋" w:eastAsia="仿宋"/>
          <w:b w:val="0"/>
          <w:sz w:val="32"/>
        </w:rPr>
        <w:t>望各部门及全体员工认真学习该预案内容，熟悉预案程序，并严格遵守执行。</w:t>
      </w:r>
    </w:p>
    <w:p/>
    <w:p>
      <w:pPr>
        <w:ind w:firstLine="620"/>
      </w:pPr>
      <w:r>
        <w:rPr>
          <w:rFonts w:ascii="仿宋" w:hAnsi="仿宋" w:eastAsia="仿宋"/>
          <w:b w:val="0"/>
          <w:sz w:val="32"/>
        </w:rPr>
        <w:t>主要负责人（签字）：</w:t>
      </w:r>
    </w:p>
    <w:p>
      <w:pPr>
        <w:ind w:firstLine="620"/>
      </w:pPr>
      <w:r>
        <w:rPr>
          <w:rFonts w:ascii="仿宋" w:hAnsi="仿宋" w:eastAsia="仿宋"/>
          <w:b w:val="0"/>
          <w:sz w:val="32"/>
        </w:rPr>
        <w:t>日期：　　　年　　　月　　　日</w:t>
      </w:r>
    </w:p>
    <w:p>
      <w:r>
        <w:br w:type="page"/>
      </w:r>
    </w:p>
    <w:p>
      <w:pPr>
        <w:spacing w:after="480"/>
        <w:jc w:val="center"/>
      </w:pPr>
      <w:r>
        <w:rPr>
          <w:rFonts w:ascii="宋体" w:hAnsi="宋体" w:eastAsia="宋体"/>
          <w:b/>
          <w:sz w:val="36"/>
        </w:rPr>
        <w:t>应急预案执行部门签署页</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tcPr>
          <w:p>
            <w:pPr>
              <w:jc w:val="center"/>
            </w:pPr>
            <w:r>
              <w:rPr>
                <w:rFonts w:ascii="宋体" w:hAnsi="宋体" w:eastAsia="宋体"/>
                <w:b/>
                <w:sz w:val="24"/>
              </w:rPr>
              <w:t>序号</w:t>
            </w:r>
          </w:p>
        </w:tc>
        <w:tc>
          <w:tcPr>
            <w:tcW w:type="dxa" w:w="2295"/>
          </w:tcPr>
          <w:p>
            <w:pPr>
              <w:jc w:val="center"/>
            </w:pPr>
            <w:r>
              <w:rPr>
                <w:rFonts w:ascii="宋体" w:hAnsi="宋体" w:eastAsia="宋体"/>
                <w:b/>
                <w:sz w:val="24"/>
              </w:rPr>
              <w:t>姓名</w:t>
            </w:r>
          </w:p>
        </w:tc>
        <w:tc>
          <w:tcPr>
            <w:tcW w:type="dxa" w:w="2295"/>
          </w:tcPr>
          <w:p>
            <w:pPr>
              <w:jc w:val="center"/>
            </w:pPr>
            <w:r>
              <w:rPr>
                <w:rFonts w:ascii="宋体" w:hAnsi="宋体" w:eastAsia="宋体"/>
                <w:b/>
                <w:sz w:val="24"/>
              </w:rPr>
              <w:t>职务</w:t>
            </w:r>
          </w:p>
        </w:tc>
        <w:tc>
          <w:tcPr>
            <w:tcW w:type="dxa" w:w="2295"/>
          </w:tcPr>
          <w:p>
            <w:pPr>
              <w:jc w:val="center"/>
            </w:pPr>
            <w:r>
              <w:rPr>
                <w:rFonts w:ascii="宋体" w:hAnsi="宋体" w:eastAsia="宋体"/>
                <w:b/>
                <w:sz w:val="24"/>
              </w:rPr>
              <w:t>签署</w:t>
            </w:r>
          </w:p>
        </w:tc>
      </w:tr>
      <w:tr>
        <w:tc>
          <w:tcPr>
            <w:tcW w:type="dxa" w:w="2295"/>
          </w:tcPr>
          <w:p>
            <w:pPr>
              <w:jc w:val="center"/>
            </w:pPr>
            <w:r>
              <w:rPr>
                <w:rFonts w:ascii="仿宋" w:hAnsi="仿宋" w:eastAsia="仿宋"/>
                <w:sz w:val="24"/>
              </w:rPr>
              <w:t>1</w:t>
            </w:r>
          </w:p>
        </w:tc>
        <w:tc>
          <w:tcPr>
            <w:tcW w:type="dxa" w:w="2295"/>
          </w:tcPr>
          <w:p>
            <w:pPr>
              <w:jc w:val="left"/>
            </w:pPr>
            <w:r>
              <w:rPr>
                <w:rFonts w:ascii="仿宋" w:hAnsi="仿宋" w:eastAsia="仿宋"/>
                <w:sz w:val="24"/>
              </w:rPr>
              <w:t>张  红</w:t>
            </w:r>
          </w:p>
        </w:tc>
        <w:tc>
          <w:tcPr>
            <w:tcW w:type="dxa" w:w="2295"/>
          </w:tcPr>
          <w:p>
            <w:pPr>
              <w:jc w:val="center"/>
            </w:pPr>
            <w:r>
              <w:rPr>
                <w:rFonts w:ascii="仿宋" w:hAnsi="仿宋" w:eastAsia="仿宋"/>
                <w:sz w:val="24"/>
              </w:rPr>
              <w:t>总经理</w:t>
            </w:r>
          </w:p>
        </w:tc>
        <w:tc>
          <w:tcPr>
            <w:tcW w:type="dxa" w:w="2295"/>
          </w:tcPr>
          <w:p>
            <w:pPr>
              <w:jc w:val="center"/>
            </w:pPr>
            <w:r>
              <w:rPr>
                <w:rFonts w:ascii="仿宋" w:hAnsi="仿宋" w:eastAsia="仿宋"/>
                <w:sz w:val="24"/>
              </w:rPr>
            </w:r>
          </w:p>
        </w:tc>
      </w:tr>
      <w:tr>
        <w:tc>
          <w:tcPr>
            <w:tcW w:type="dxa" w:w="2295"/>
          </w:tcPr>
          <w:p>
            <w:pPr>
              <w:jc w:val="center"/>
            </w:pPr>
            <w:r>
              <w:rPr>
                <w:rFonts w:ascii="仿宋" w:hAnsi="仿宋" w:eastAsia="仿宋"/>
                <w:sz w:val="24"/>
              </w:rPr>
              <w:t>2</w:t>
            </w:r>
          </w:p>
        </w:tc>
        <w:tc>
          <w:tcPr>
            <w:tcW w:type="dxa" w:w="2295"/>
          </w:tcPr>
          <w:p>
            <w:pPr>
              <w:jc w:val="left"/>
            </w:pPr>
            <w:r>
              <w:rPr>
                <w:rFonts w:ascii="仿宋" w:hAnsi="仿宋" w:eastAsia="仿宋"/>
                <w:sz w:val="24"/>
              </w:rPr>
              <w:t>王晨曦</w:t>
            </w:r>
          </w:p>
        </w:tc>
        <w:tc>
          <w:tcPr>
            <w:tcW w:type="dxa" w:w="2295"/>
          </w:tcPr>
          <w:p>
            <w:pPr>
              <w:jc w:val="center"/>
            </w:pPr>
            <w:r>
              <w:rPr>
                <w:rFonts w:ascii="仿宋" w:hAnsi="仿宋" w:eastAsia="仿宋"/>
                <w:sz w:val="24"/>
              </w:rPr>
              <w:t>店  长</w:t>
            </w:r>
          </w:p>
        </w:tc>
        <w:tc>
          <w:tcPr>
            <w:tcW w:type="dxa" w:w="2295"/>
          </w:tcPr>
          <w:p>
            <w:pPr>
              <w:jc w:val="center"/>
            </w:pPr>
            <w:r>
              <w:rPr>
                <w:rFonts w:ascii="仿宋" w:hAnsi="仿宋" w:eastAsia="仿宋"/>
                <w:sz w:val="24"/>
              </w:rPr>
            </w:r>
          </w:p>
        </w:tc>
      </w:tr>
      <w:tr>
        <w:tc>
          <w:tcPr>
            <w:tcW w:type="dxa" w:w="2295"/>
          </w:tcPr>
          <w:p>
            <w:pPr>
              <w:jc w:val="center"/>
            </w:pPr>
            <w:r>
              <w:rPr>
                <w:rFonts w:ascii="仿宋" w:hAnsi="仿宋" w:eastAsia="仿宋"/>
                <w:sz w:val="24"/>
              </w:rPr>
              <w:t>3</w:t>
            </w:r>
          </w:p>
        </w:tc>
        <w:tc>
          <w:tcPr>
            <w:tcW w:type="dxa" w:w="2295"/>
          </w:tcPr>
          <w:p>
            <w:pPr>
              <w:jc w:val="left"/>
            </w:pPr>
            <w:r>
              <w:rPr>
                <w:rFonts w:ascii="仿宋" w:hAnsi="仿宋" w:eastAsia="仿宋"/>
                <w:sz w:val="24"/>
              </w:rPr>
              <w:t>翟鹏昌</w:t>
            </w:r>
          </w:p>
        </w:tc>
        <w:tc>
          <w:tcPr>
            <w:tcW w:type="dxa" w:w="2295"/>
          </w:tcPr>
          <w:p>
            <w:pPr>
              <w:jc w:val="center"/>
            </w:pPr>
            <w:r>
              <w:rPr>
                <w:rFonts w:ascii="仿宋" w:hAnsi="仿宋" w:eastAsia="仿宋"/>
                <w:sz w:val="24"/>
              </w:rPr>
              <w:t>工程副经理</w:t>
            </w:r>
          </w:p>
        </w:tc>
        <w:tc>
          <w:tcPr>
            <w:tcW w:type="dxa" w:w="2295"/>
          </w:tcPr>
          <w:p>
            <w:pPr>
              <w:jc w:val="center"/>
            </w:pPr>
            <w:r>
              <w:rPr>
                <w:rFonts w:ascii="仿宋" w:hAnsi="仿宋" w:eastAsia="仿宋"/>
                <w:sz w:val="24"/>
              </w:rPr>
            </w:r>
          </w:p>
        </w:tc>
      </w:tr>
      <w:tr>
        <w:tc>
          <w:tcPr>
            <w:tcW w:type="dxa" w:w="2295"/>
          </w:tcPr>
          <w:p>
            <w:pPr>
              <w:jc w:val="center"/>
            </w:pPr>
            <w:r>
              <w:rPr>
                <w:rFonts w:ascii="仿宋" w:hAnsi="仿宋" w:eastAsia="仿宋"/>
                <w:sz w:val="24"/>
              </w:rPr>
              <w:t>4</w:t>
            </w:r>
          </w:p>
        </w:tc>
        <w:tc>
          <w:tcPr>
            <w:tcW w:type="dxa" w:w="2295"/>
          </w:tcPr>
          <w:p>
            <w:pPr>
              <w:jc w:val="left"/>
            </w:pPr>
            <w:r>
              <w:rPr>
                <w:rFonts w:ascii="仿宋" w:hAnsi="仿宋" w:eastAsia="仿宋"/>
                <w:sz w:val="24"/>
              </w:rPr>
              <w:t>杨  伟</w:t>
            </w:r>
          </w:p>
        </w:tc>
        <w:tc>
          <w:tcPr>
            <w:tcW w:type="dxa" w:w="2295"/>
          </w:tcPr>
          <w:p>
            <w:pPr>
              <w:jc w:val="center"/>
            </w:pPr>
            <w:r>
              <w:rPr>
                <w:rFonts w:ascii="仿宋" w:hAnsi="仿宋" w:eastAsia="仿宋"/>
                <w:sz w:val="24"/>
              </w:rPr>
              <w:t>工程副经理</w:t>
            </w:r>
          </w:p>
        </w:tc>
        <w:tc>
          <w:tcPr>
            <w:tcW w:type="dxa" w:w="2295"/>
          </w:tcPr>
          <w:p>
            <w:pPr>
              <w:jc w:val="center"/>
            </w:pPr>
            <w:r>
              <w:rPr>
                <w:rFonts w:ascii="仿宋" w:hAnsi="仿宋" w:eastAsia="仿宋"/>
                <w:sz w:val="24"/>
              </w:rPr>
            </w:r>
          </w:p>
        </w:tc>
      </w:tr>
    </w:tbl>
    <w:p>
      <w:pPr>
        <w:sectPr>
          <w:pgSz w:w="12240" w:h="15840"/>
          <w:pgMar w:top="2098" w:right="1474" w:bottom="1984" w:left="1587" w:header="720" w:footer="720" w:gutter="0"/>
          <w:cols w:space="720"/>
          <w:docGrid w:linePitch="360"/>
        </w:sectPr>
      </w:pPr>
    </w:p>
    <w:p>
      <w:r>
        <w:br w:type="page"/>
      </w:r>
    </w:p>
    <w:p>
      <w:pPr>
        <w:pStyle w:val="BodyTitle"/>
      </w:pPr>
      <w:r>
        <w:t>综合应急预案</w:t>
      </w:r>
    </w:p>
    <w:p>
      <w:pPr>
        <w:pStyle w:val="Heading2"/>
        <w:ind w:firstLine="632"/>
      </w:pPr>
      <w:r>
        <w:t>总则</w:t>
      </w:r>
    </w:p>
    <w:p>
      <w:pPr>
        <w:pStyle w:val="Heading3"/>
        <w:ind w:firstLine="632"/>
      </w:pPr>
      <w:r>
        <w:t>适用范围</w:t>
      </w:r>
    </w:p>
    <w:p>
      <w:pPr>
        <w:ind w:firstLine="640"/>
      </w:pPr>
      <w:r>
        <w:t>本预案适用于西安新兴紫楹台酒店有限公司紫楹台酒店（以下简称为"酒店"）范围内发生或可能发生的生产安全事故应急处置。</w:t>
      </w:r>
    </w:p>
    <w:p>
      <w:pPr>
        <w:pStyle w:val="Heading3"/>
        <w:ind w:firstLine="632"/>
      </w:pPr>
      <w:r>
        <w:t>响应分级</w:t>
      </w:r>
    </w:p>
    <w:p>
      <w:pPr>
        <w:ind w:firstLine="640"/>
      </w:pPr>
      <w:r>
        <w:t>应急响应坚持属地为主的原则，按照事故的危害程度、影响范围和控制事态的能力，将事故响应级别分为三级：</w:t>
      </w:r>
    </w:p>
    <w:p>
      <w:pPr>
        <w:ind w:firstLine="640"/>
      </w:pPr>
      <w:r>
        <w:rPr>
          <w:b/>
        </w:rPr>
        <w:t>Ⅲ级</w:t>
      </w:r>
      <w:r>
        <w:t>：部门或作业现场的应急力量能够自行处置的事故。</w:t>
      </w:r>
    </w:p>
    <w:p>
      <w:pPr>
        <w:ind w:firstLine="640"/>
      </w:pPr>
      <w:r>
        <w:rPr>
          <w:b/>
        </w:rPr>
        <w:t>Ⅱ级</w:t>
      </w:r>
      <w:r>
        <w:t>：超出部门处置能力，酒店内部应急力量能够处置的事故。</w:t>
      </w:r>
    </w:p>
    <w:p>
      <w:pPr>
        <w:ind w:firstLine="640"/>
      </w:pPr>
      <w:r>
        <w:rPr>
          <w:b/>
        </w:rPr>
        <w:t>Ⅰ级</w:t>
      </w:r>
      <w:r>
        <w:t>：需向外部力量请求协助处置的事故。</w:t>
      </w:r>
    </w:p>
    <w:p/>
    <w:p>
      <w:pPr>
        <w:pStyle w:val="Heading2"/>
        <w:ind w:firstLine="632"/>
      </w:pPr>
      <w:r>
        <w:t>应急组织机构及职责</w:t>
      </w:r>
    </w:p>
    <w:p>
      <w:pPr>
        <w:ind w:firstLine="640"/>
      </w:pPr>
      <w:r>
        <w:t>酒店应急组织体系由应急救援指挥部和应急救援小组组成。</w:t>
      </w:r>
    </w:p>
    <w:p>
      <w:pPr>
        <w:pStyle w:val="Heading4"/>
        <w:ind w:firstLine="632"/>
      </w:pPr>
      <w:r>
        <w:t>指挥人员职责</w:t>
      </w:r>
    </w:p>
    <w:p>
      <w:pPr>
        <w:pStyle w:val="Heading5"/>
        <w:ind w:firstLine="632"/>
      </w:pPr>
      <w:r>
        <w:t>总指挥职责</w:t>
      </w:r>
    </w:p>
    <w:p>
      <w:pPr>
        <w:ind w:firstLine="640"/>
      </w:pPr>
      <w:r>
        <w:t>全面负责组织、指挥现场应急救援。根据现场实际情况有权对抢险救援过程中的关键性问题作出决定。</w:t>
      </w:r>
    </w:p>
    <w:p>
      <w:pPr>
        <w:ind w:firstLine="640"/>
      </w:pPr>
      <w:r>
        <w:t>全面协调处置酒店生产安全事故的应急处置工作。</w:t>
      </w:r>
    </w:p>
    <w:p>
      <w:pPr>
        <w:pStyle w:val="Heading5"/>
        <w:ind w:firstLine="632"/>
      </w:pPr>
      <w:r>
        <w:t>副总指挥职责</w:t>
      </w:r>
    </w:p>
    <w:p>
      <w:pPr>
        <w:ind w:firstLine="640"/>
      </w:pPr>
      <w:r>
        <w:t>协助总指挥组织和指挥应急救援任务。</w:t>
      </w:r>
    </w:p>
    <w:p>
      <w:pPr>
        <w:pStyle w:val="Heading4"/>
        <w:ind w:firstLine="632"/>
      </w:pPr>
      <w:r>
        <w:t>应急救援小组</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pPr>
              <w:jc w:val="center"/>
            </w:pPr>
            <w:r>
              <w:rPr>
                <w:rFonts w:ascii="宋体" w:hAnsi="宋体" w:eastAsia="宋体"/>
                <w:b/>
                <w:sz w:val="21"/>
              </w:rPr>
              <w:t>组别</w:t>
            </w:r>
          </w:p>
        </w:tc>
        <w:tc>
          <w:tcPr>
            <w:tcW w:type="dxa" w:w="2878"/>
          </w:tcPr>
          <w:p>
            <w:pPr>
              <w:jc w:val="center"/>
            </w:pPr>
            <w:r>
              <w:rPr>
                <w:rFonts w:ascii="宋体" w:hAnsi="宋体" w:eastAsia="宋体"/>
                <w:b/>
                <w:sz w:val="21"/>
              </w:rPr>
              <w:t>组长</w:t>
            </w:r>
          </w:p>
        </w:tc>
        <w:tc>
          <w:tcPr>
            <w:tcW w:type="dxa" w:w="2878"/>
          </w:tcPr>
          <w:p>
            <w:pPr>
              <w:jc w:val="center"/>
            </w:pPr>
            <w:r>
              <w:rPr>
                <w:rFonts w:ascii="宋体" w:hAnsi="宋体" w:eastAsia="宋体"/>
                <w:b/>
                <w:sz w:val="21"/>
              </w:rPr>
              <w:t>职责</w:t>
            </w:r>
          </w:p>
        </w:tc>
      </w:tr>
      <w:tr>
        <w:tc>
          <w:tcPr>
            <w:tcW w:type="dxa" w:w="2878"/>
          </w:tcPr>
          <w:p>
            <w:pPr>
              <w:jc w:val="center"/>
            </w:pPr>
            <w:r>
              <w:rPr>
                <w:rFonts w:ascii="仿宋" w:hAnsi="仿宋" w:eastAsia="仿宋"/>
                <w:sz w:val="21"/>
              </w:rPr>
              <w:t>抢险救援组</w:t>
            </w:r>
          </w:p>
        </w:tc>
        <w:tc>
          <w:tcPr>
            <w:tcW w:type="dxa" w:w="2878"/>
          </w:tcPr>
          <w:p>
            <w:pPr>
              <w:jc w:val="center"/>
            </w:pPr>
            <w:r>
              <w:rPr>
                <w:rFonts w:ascii="仿宋" w:hAnsi="仿宋" w:eastAsia="仿宋"/>
                <w:sz w:val="21"/>
              </w:rPr>
              <w:t>杨伟</w:t>
            </w:r>
          </w:p>
        </w:tc>
        <w:tc>
          <w:tcPr>
            <w:tcW w:type="dxa" w:w="2878"/>
          </w:tcPr>
          <w:p>
            <w:pPr>
              <w:jc w:val="center"/>
            </w:pPr>
            <w:r>
              <w:rPr>
                <w:rFonts w:ascii="仿宋" w:hAnsi="仿宋" w:eastAsia="仿宋"/>
                <w:sz w:val="21"/>
              </w:rPr>
              <w:t>负责火灾扑救、物资抢救</w:t>
            </w:r>
          </w:p>
        </w:tc>
      </w:tr>
      <w:tr>
        <w:tc>
          <w:tcPr>
            <w:tcW w:type="dxa" w:w="2878"/>
          </w:tcPr>
          <w:p>
            <w:pPr>
              <w:jc w:val="center"/>
            </w:pPr>
            <w:r>
              <w:rPr>
                <w:rFonts w:ascii="仿宋" w:hAnsi="仿宋" w:eastAsia="仿宋"/>
                <w:sz w:val="21"/>
              </w:rPr>
              <w:t>通讯联络组</w:t>
            </w:r>
          </w:p>
        </w:tc>
        <w:tc>
          <w:tcPr>
            <w:tcW w:type="dxa" w:w="2878"/>
          </w:tcPr>
          <w:p>
            <w:pPr>
              <w:jc w:val="center"/>
            </w:pPr>
            <w:r>
              <w:rPr>
                <w:rFonts w:ascii="仿宋" w:hAnsi="仿宋" w:eastAsia="仿宋"/>
                <w:sz w:val="21"/>
              </w:rPr>
              <w:t>靳吉全</w:t>
            </w:r>
          </w:p>
        </w:tc>
        <w:tc>
          <w:tcPr>
            <w:tcW w:type="dxa" w:w="2878"/>
          </w:tcPr>
          <w:p>
            <w:pPr>
              <w:jc w:val="center"/>
            </w:pPr>
            <w:r>
              <w:rPr>
                <w:rFonts w:ascii="仿宋" w:hAnsi="仿宋" w:eastAsia="仿宋"/>
                <w:sz w:val="21"/>
              </w:rPr>
              <w:t>负责通信联络、信息发布</w:t>
            </w:r>
          </w:p>
        </w:tc>
      </w:tr>
      <w:tr>
        <w:tc>
          <w:tcPr>
            <w:tcW w:type="dxa" w:w="2878"/>
          </w:tcPr>
          <w:p>
            <w:pPr>
              <w:jc w:val="center"/>
            </w:pPr>
            <w:r>
              <w:rPr>
                <w:rFonts w:ascii="仿宋" w:hAnsi="仿宋" w:eastAsia="仿宋"/>
                <w:sz w:val="21"/>
              </w:rPr>
              <w:t>警戒疏散组</w:t>
            </w:r>
          </w:p>
        </w:tc>
        <w:tc>
          <w:tcPr>
            <w:tcW w:type="dxa" w:w="2878"/>
          </w:tcPr>
          <w:p>
            <w:pPr>
              <w:jc w:val="center"/>
            </w:pPr>
            <w:r>
              <w:rPr>
                <w:rFonts w:ascii="仿宋" w:hAnsi="仿宋" w:eastAsia="仿宋"/>
                <w:sz w:val="21"/>
              </w:rPr>
              <w:t>李志民</w:t>
            </w:r>
          </w:p>
        </w:tc>
        <w:tc>
          <w:tcPr>
            <w:tcW w:type="dxa" w:w="2878"/>
          </w:tcPr>
          <w:p>
            <w:pPr>
              <w:jc w:val="center"/>
            </w:pPr>
            <w:r>
              <w:rPr>
                <w:rFonts w:ascii="仿宋" w:hAnsi="仿宋" w:eastAsia="仿宋"/>
                <w:sz w:val="21"/>
              </w:rPr>
              <w:t>负责现场警戒、人员疏散</w:t>
            </w:r>
          </w:p>
        </w:tc>
      </w:tr>
      <w:tr>
        <w:tc>
          <w:tcPr>
            <w:tcW w:type="dxa" w:w="2878"/>
          </w:tcPr>
          <w:p>
            <w:pPr>
              <w:jc w:val="center"/>
            </w:pPr>
            <w:r>
              <w:rPr>
                <w:rFonts w:ascii="仿宋" w:hAnsi="仿宋" w:eastAsia="仿宋"/>
                <w:sz w:val="21"/>
              </w:rPr>
              <w:t>后勤保障组</w:t>
            </w:r>
          </w:p>
        </w:tc>
        <w:tc>
          <w:tcPr>
            <w:tcW w:type="dxa" w:w="2878"/>
          </w:tcPr>
          <w:p>
            <w:pPr>
              <w:jc w:val="center"/>
            </w:pPr>
            <w:r>
              <w:rPr>
                <w:rFonts w:ascii="仿宋" w:hAnsi="仿宋" w:eastAsia="仿宋"/>
                <w:sz w:val="21"/>
              </w:rPr>
              <w:t>程玲</w:t>
            </w:r>
          </w:p>
        </w:tc>
        <w:tc>
          <w:tcPr>
            <w:tcW w:type="dxa" w:w="2878"/>
          </w:tcPr>
          <w:p>
            <w:pPr>
              <w:jc w:val="center"/>
            </w:pPr>
            <w:r>
              <w:rPr>
                <w:rFonts w:ascii="仿宋" w:hAnsi="仿宋" w:eastAsia="仿宋"/>
                <w:sz w:val="21"/>
              </w:rPr>
              <w:t>负责物资调用、后勤保障</w:t>
            </w:r>
          </w:p>
        </w:tc>
      </w:tr>
      <w:tr>
        <w:tc>
          <w:tcPr>
            <w:tcW w:type="dxa" w:w="2878"/>
          </w:tcPr>
          <w:p>
            <w:pPr>
              <w:jc w:val="center"/>
            </w:pPr>
            <w:r>
              <w:rPr>
                <w:rFonts w:ascii="仿宋" w:hAnsi="仿宋" w:eastAsia="仿宋"/>
                <w:sz w:val="21"/>
              </w:rPr>
              <w:t>医疗救护组</w:t>
            </w:r>
          </w:p>
        </w:tc>
        <w:tc>
          <w:tcPr>
            <w:tcW w:type="dxa" w:w="2878"/>
          </w:tcPr>
          <w:p>
            <w:pPr>
              <w:jc w:val="center"/>
            </w:pPr>
            <w:r>
              <w:rPr>
                <w:rFonts w:ascii="仿宋" w:hAnsi="仿宋" w:eastAsia="仿宋"/>
                <w:sz w:val="21"/>
              </w:rPr>
              <w:t>王菲</w:t>
            </w:r>
          </w:p>
        </w:tc>
        <w:tc>
          <w:tcPr>
            <w:tcW w:type="dxa" w:w="2878"/>
          </w:tcPr>
          <w:p>
            <w:pPr>
              <w:jc w:val="center"/>
            </w:pPr>
            <w:r>
              <w:rPr>
                <w:rFonts w:ascii="仿宋" w:hAnsi="仿宋" w:eastAsia="仿宋"/>
                <w:sz w:val="21"/>
              </w:rPr>
              <w:t>负责现场救护、伤员转运</w:t>
            </w:r>
          </w:p>
        </w:tc>
      </w:tr>
    </w:tbl>
    <w:p/>
    <w:p/>
    <w:p>
      <w:pPr>
        <w:pStyle w:val="Heading2"/>
        <w:ind w:firstLine="632"/>
      </w:pPr>
      <w:r>
        <w:t>应急响应</w:t>
      </w:r>
    </w:p>
    <w:p>
      <w:pPr>
        <w:pStyle w:val="Heading4"/>
        <w:ind w:firstLine="632"/>
      </w:pPr>
      <w:r>
        <w:t>信息报告</w:t>
      </w:r>
    </w:p>
    <w:p>
      <w:pPr>
        <w:ind w:firstLine="640"/>
      </w:pPr>
      <w:r>
        <w:t>事故发生后，现场人员立即向应急救援指挥部报告。报告内容包括：</w:t>
      </w:r>
    </w:p>
    <w:p>
      <w:pPr>
        <w:ind w:left="567" w:hanging="283"/>
      </w:pPr>
      <w:r>
        <w:t>● 事故发生的时间、地点</w:t>
      </w:r>
    </w:p>
    <w:p>
      <w:pPr>
        <w:ind w:left="567" w:hanging="283"/>
      </w:pPr>
      <w:r>
        <w:t>● 事故的简要经过</w:t>
      </w:r>
    </w:p>
    <w:p>
      <w:pPr>
        <w:ind w:left="567" w:hanging="283"/>
      </w:pPr>
      <w:r>
        <w:t>● 已经造成或可能造成的伤亡人数</w:t>
      </w:r>
    </w:p>
    <w:p>
      <w:pPr>
        <w:ind w:left="567" w:hanging="283"/>
      </w:pPr>
      <w:r>
        <w:t>● 已经采取的措施</w:t>
      </w:r>
    </w:p>
    <w:p>
      <w:pPr>
        <w:pStyle w:val="Heading4"/>
        <w:ind w:firstLine="632"/>
      </w:pPr>
      <w:r>
        <w:t>预警</w:t>
      </w:r>
    </w:p>
    <w:p>
      <w:pPr>
        <w:ind w:firstLine="640"/>
      </w:pPr>
      <w:r>
        <w:t>预警信息由应急救援指挥部发布，明确预警的响应范围、公开程度和保密要求。</w:t>
      </w:r>
    </w:p>
    <w:p>
      <w:pPr>
        <w:pStyle w:val="Heading4"/>
        <w:ind w:firstLine="632"/>
      </w:pPr>
      <w:r>
        <w:t>响应启动</w:t>
      </w:r>
    </w:p>
    <w:p>
      <w:pPr>
        <w:ind w:firstLine="640"/>
      </w:pPr>
      <w:r>
        <w:t>事故发生后，应急救援指挥部按照事故响应程序开展应急处置工作，包括应急启动、应急行动、应急结束三个阶段。</w:t>
      </w:r>
    </w:p>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jc w:val="both"/>
    </w:pPr>
    <w:rPr>
      <w:rFonts w:ascii="Times New Roman" w:hAnsi="Times New Roman" w:eastAsia="仿宋" w:cs="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96000" w:after="1524000"/>
      <w:ind w:firstLine="632"/>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4572000" w:after="1524000"/>
      <w:ind w:firstLine="632"/>
      <w:outlineLvl w:val="1"/>
    </w:pPr>
    <w:rPr>
      <w:rFonts w:asciiTheme="majorHAnsi" w:eastAsiaTheme="majorEastAsia" w:hAnsiTheme="majorHAnsi" w:cstheme="majorBidi" w:ascii="宋体" w:hAnsi="宋体" w:eastAsia="宋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048000" w:after="1016000"/>
      <w:ind w:firstLine="632"/>
      <w:outlineLvl w:val="2"/>
    </w:pPr>
    <w:rPr>
      <w:rFonts w:asciiTheme="majorHAnsi" w:eastAsiaTheme="majorEastAsia" w:hAnsiTheme="majorHAnsi" w:cstheme="majorBidi" w:ascii="宋体" w:hAnsi="宋体" w:eastAsia="宋体"/>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32000" w:after="1016000"/>
      <w:ind w:firstLine="632"/>
      <w:outlineLvl w:val="3"/>
    </w:pPr>
    <w:rPr>
      <w:rFonts w:asciiTheme="majorHAnsi" w:eastAsiaTheme="majorEastAsia" w:hAnsiTheme="majorHAnsi" w:cstheme="majorBidi" w:ascii="仿宋" w:hAnsi="仿宋" w:eastAsia="仿宋"/>
      <w:b/>
      <w:bCs/>
      <w:i/>
      <w:iCs/>
      <w:color w:val="4F81BD" w:themeColor="accent1"/>
      <w:sz w:val="3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ind w:firstLine="640"/>
    </w:pPr>
    <w:rPr>
      <w:rFonts w:ascii="仿宋_GB2312" w:hAnsi="仿宋_GB2312" w:eastAsia="仿宋_GB2312"/>
      <w:sz w:val="3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basedOn w:val="Normal"/>
    <w:pPr>
      <w:spacing w:before="0" w:after="0"/>
      <w:jc w:val="center"/>
    </w:pPr>
    <w:rPr>
      <w:rFonts w:ascii="宋体" w:hAnsi="宋体" w:eastAsia="宋体"/>
      <w:sz w:val="52"/>
    </w:rPr>
  </w:style>
  <w:style w:type="paragraph" w:customStyle="1" w:styleId="CoverSign">
    <w:name w:val="Cover Sign"/>
    <w:basedOn w:val="Normal"/>
    <w:pPr>
      <w:spacing w:before="0" w:after="0"/>
      <w:jc w:val="center"/>
    </w:pPr>
    <w:rPr>
      <w:rFonts w:ascii="仿宋" w:hAnsi="仿宋" w:eastAsia="仿宋"/>
      <w:sz w:val="36"/>
    </w:rPr>
  </w:style>
  <w:style w:type="paragraph" w:customStyle="1" w:styleId="BodyTitle">
    <w:name w:val="Body Title"/>
    <w:basedOn w:val="Normal"/>
    <w:pPr>
      <w:spacing w:before="6096000" w:after="3048000"/>
      <w:jc w:val="center"/>
    </w:pPr>
    <w:rPr>
      <w:rFonts w:ascii="宋体" w:hAnsi="宋体" w:eastAsia="宋体"/>
      <w:b/>
      <w:sz w:val="44"/>
    </w:rPr>
  </w:style>
  <w:style w:type="paragraph" w:customStyle="1" w:styleId="IDX-B">
    <w:name w:val="IDX-B"/>
    <w:basedOn w:val="Normal"/>
    <w:pPr>
      <w:ind w:firstLine="0"/>
    </w:pPr>
    <w:rPr>
      <w:rFonts w:ascii="華康中楷體" w:hAnsi="華康中楷體" w:eastAsia="華康中楷體"/>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