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HPC -- Teacher Policy技术方案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训练一个速度命令的行走策略（在unitree_lab的Unitree-G1-29dof-Velocity的基础上进行修改），任务名称</w:t>
      </w:r>
      <w:r>
        <w:rPr>
          <w:rFonts w:eastAsia="等线" w:ascii="Arial" w:cs="Arial" w:hAnsi="Arial"/>
          <w:b w:val="true"/>
          <w:sz w:val="22"/>
        </w:rPr>
        <w:t>Unitree_velocity_perception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训练流程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网络1 -- 地形编码器 (Terrain Encoder）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搭载激光雷达获取高程图信息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输入：无噪声的机器人中心高程图 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 空间地形特征ft_terrain（128）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网络结构（MLP）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terrain_encoder_dims=[256, 128]  # 187 -&gt; 256 -&gt; 128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高程图输入维度信息：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 轴点数</w:t>
      </w:r>
      <w:r>
        <w:rPr>
          <w:rFonts w:eastAsia="等线" w:ascii="Arial" w:cs="Arial" w:hAnsi="Arial"/>
          <w:sz w:val="22"/>
        </w:rPr>
        <w:t xml:space="preserve">：1.6÷0.1=16。通常在实现时会包含零点或边界点，所以往往是 </w:t>
      </w:r>
      <w:r>
        <w:rPr>
          <w:rFonts w:eastAsia="等线" w:ascii="Arial" w:cs="Arial" w:hAnsi="Arial"/>
          <w:b w:val="true"/>
          <w:sz w:val="22"/>
        </w:rPr>
        <w:t>17 个点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 轴点数</w:t>
      </w:r>
      <w:r>
        <w:rPr>
          <w:rFonts w:eastAsia="等线" w:ascii="Arial" w:cs="Arial" w:hAnsi="Arial"/>
          <w:sz w:val="22"/>
        </w:rPr>
        <w:t xml:space="preserve">：1.0÷0.1=10。包含边界通常是 </w:t>
      </w:r>
      <w:r>
        <w:rPr>
          <w:rFonts w:eastAsia="等线" w:ascii="Arial" w:cs="Arial" w:hAnsi="Arial"/>
          <w:b w:val="true"/>
          <w:sz w:val="22"/>
        </w:rPr>
        <w:t>11 个点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展平后的总维度</w:t>
      </w:r>
      <w:r>
        <w:rPr>
          <w:rFonts w:eastAsia="等线" w:ascii="Arial" w:cs="Arial" w:hAnsi="Arial"/>
          <w:sz w:val="22"/>
        </w:rPr>
        <w:t xml:space="preserve">：17×11=187 </w:t>
      </w:r>
      <w:r>
        <w:rPr>
          <w:rFonts w:eastAsia="等线" w:ascii="Arial" w:cs="Arial" w:hAnsi="Arial"/>
          <w:b w:val="true"/>
          <w:sz w:val="22"/>
        </w:rPr>
        <w:t>维</w:t>
      </w:r>
      <w:r>
        <w:rPr>
          <w:rFonts w:eastAsia="等线" w:ascii="Arial" w:cs="Arial" w:hAnsi="Arial"/>
          <w:sz w:val="22"/>
        </w:rPr>
        <w:t>。（如果是严格按除法算，则是 16×10=160 维）。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height_scanner=HeightScannerCfg(</w:t>
              <w:br/>
              <w:t xml:space="preserve">            enable_height_scan=False,</w:t>
              <w:br/>
              <w:t xml:space="preserve">            prim_body_name=MISSING,</w:t>
              <w:br/>
              <w:t xml:space="preserve">            resolution=0.1,</w:t>
              <w:br/>
              <w:t xml:space="preserve">            size=(1.6, 1.0),</w:t>
              <w:br/>
              <w:t xml:space="preserve">            debug_vis=False,</w:t>
              <w:br/>
              <w:t xml:space="preserve">            drift_range=(0.0, 0.0),  # (0.3, 0.3)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),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网络2 -- 策略网络 (Actor Encoder）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地形编码器输出的空间特征 ft_terrain（128）、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基座 （1）、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局部机身旋转矩阵（9）、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局部机身线速度（3）、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局部机身角速度（3）、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指令根节点线速度（3）、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指令根节点角速度（3）、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关节位置（29）、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关节速度（29）、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上一帧动作（29）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输出：29个dof的期望位置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网络3 -- Critic网络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输入:与Actor网络完全一致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输出：状态价值估算V（s）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其他设计思想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观测量中与Unitree-G1-29dof-Velocity相同的观测，可以直接复制原本观测获取的逻辑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尽可能保留原本Unitree-G1-29dof-Velocity的reward设置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Actor、Critic网络，采用LSTM + MLP结构（放弃原本Unitree-G1-29dof-Velocity的普通MLP结构）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网络的流水线顺序：</w:t>
      </w:r>
      <w:r>
        <w:rPr>
          <w:rFonts w:eastAsia="等线" w:ascii="Arial" w:cs="Arial" w:hAnsi="Arial"/>
          <w:b w:val="true"/>
          <w:sz w:val="22"/>
        </w:rPr>
        <w:t>187维高程图 → MLP地形编码器 → 输出128维特征 → 与当前帧本体感受拼接 → LSTM层 → MLP层 → 输出动作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94976">
    <w:lvl>
      <w:numFmt w:val="bullet"/>
      <w:suff w:val="tab"/>
      <w:lvlText w:val="•"/>
      <w:rPr>
        <w:color w:val="3370ff"/>
      </w:rPr>
    </w:lvl>
  </w:abstractNum>
  <w:abstractNum w:abstractNumId="594977">
    <w:lvl>
      <w:numFmt w:val="bullet"/>
      <w:suff w:val="tab"/>
      <w:lvlText w:val="•"/>
      <w:rPr>
        <w:color w:val="3370ff"/>
      </w:rPr>
    </w:lvl>
  </w:abstractNum>
  <w:abstractNum w:abstractNumId="594978">
    <w:lvl>
      <w:numFmt w:val="bullet"/>
      <w:suff w:val="tab"/>
      <w:lvlText w:val="•"/>
      <w:rPr>
        <w:color w:val="3370ff"/>
      </w:rPr>
    </w:lvl>
  </w:abstractNum>
  <w:abstractNum w:abstractNumId="594979">
    <w:lvl>
      <w:numFmt w:val="bullet"/>
      <w:suff w:val="tab"/>
      <w:lvlText w:val="•"/>
      <w:rPr>
        <w:color w:val="3370ff"/>
      </w:rPr>
    </w:lvl>
  </w:abstractNum>
  <w:abstractNum w:abstractNumId="594980">
    <w:lvl>
      <w:numFmt w:val="bullet"/>
      <w:suff w:val="tab"/>
      <w:lvlText w:val="•"/>
      <w:rPr>
        <w:color w:val="3370ff"/>
      </w:rPr>
    </w:lvl>
  </w:abstractNum>
  <w:abstractNum w:abstractNumId="594981">
    <w:lvl>
      <w:numFmt w:val="bullet"/>
      <w:suff w:val="tab"/>
      <w:lvlText w:val="•"/>
      <w:rPr>
        <w:color w:val="3370ff"/>
      </w:rPr>
    </w:lvl>
  </w:abstractNum>
  <w:abstractNum w:abstractNumId="594982">
    <w:lvl>
      <w:numFmt w:val="bullet"/>
      <w:suff w:val="tab"/>
      <w:lvlText w:val="•"/>
      <w:rPr>
        <w:color w:val="3370ff"/>
      </w:rPr>
    </w:lvl>
  </w:abstractNum>
  <w:abstractNum w:abstractNumId="594983">
    <w:lvl>
      <w:numFmt w:val="bullet"/>
      <w:suff w:val="tab"/>
      <w:lvlText w:val="•"/>
      <w:rPr>
        <w:color w:val="3370ff"/>
      </w:rPr>
    </w:lvl>
  </w:abstractNum>
  <w:abstractNum w:abstractNumId="594984">
    <w:lvl>
      <w:numFmt w:val="bullet"/>
      <w:suff w:val="tab"/>
      <w:lvlText w:val="•"/>
      <w:rPr>
        <w:color w:val="3370ff"/>
      </w:rPr>
    </w:lvl>
  </w:abstractNum>
  <w:abstractNum w:abstractNumId="594985">
    <w:lvl>
      <w:numFmt w:val="bullet"/>
      <w:suff w:val="tab"/>
      <w:lvlText w:val="•"/>
      <w:rPr>
        <w:color w:val="3370ff"/>
      </w:rPr>
    </w:lvl>
  </w:abstractNum>
  <w:abstractNum w:abstractNumId="594986">
    <w:lvl>
      <w:numFmt w:val="bullet"/>
      <w:suff w:val="tab"/>
      <w:lvlText w:val="•"/>
      <w:rPr>
        <w:color w:val="3370ff"/>
      </w:rPr>
    </w:lvl>
  </w:abstractNum>
  <w:abstractNum w:abstractNumId="594987">
    <w:lvl>
      <w:numFmt w:val="bullet"/>
      <w:suff w:val="tab"/>
      <w:lvlText w:val="•"/>
      <w:rPr>
        <w:color w:val="3370ff"/>
      </w:rPr>
    </w:lvl>
  </w:abstractNum>
  <w:abstractNum w:abstractNumId="594988">
    <w:lvl>
      <w:numFmt w:val="bullet"/>
      <w:suff w:val="tab"/>
      <w:lvlText w:val="•"/>
      <w:rPr>
        <w:color w:val="3370ff"/>
      </w:rPr>
    </w:lvl>
  </w:abstractNum>
  <w:abstractNum w:abstractNumId="594989">
    <w:lvl>
      <w:numFmt w:val="bullet"/>
      <w:suff w:val="tab"/>
      <w:lvlText w:val="•"/>
      <w:rPr>
        <w:color w:val="3370ff"/>
      </w:rPr>
    </w:lvl>
  </w:abstractNum>
  <w:num w:numId="1">
    <w:abstractNumId w:val="594976"/>
  </w:num>
  <w:num w:numId="2">
    <w:abstractNumId w:val="594977"/>
  </w:num>
  <w:num w:numId="3">
    <w:abstractNumId w:val="594978"/>
  </w:num>
  <w:num w:numId="4">
    <w:abstractNumId w:val="594979"/>
  </w:num>
  <w:num w:numId="5">
    <w:abstractNumId w:val="594980"/>
  </w:num>
  <w:num w:numId="6">
    <w:abstractNumId w:val="594981"/>
  </w:num>
  <w:num w:numId="7">
    <w:abstractNumId w:val="594982"/>
  </w:num>
  <w:num w:numId="8">
    <w:abstractNumId w:val="594983"/>
  </w:num>
  <w:num w:numId="9">
    <w:abstractNumId w:val="594984"/>
  </w:num>
  <w:num w:numId="10">
    <w:abstractNumId w:val="594985"/>
  </w:num>
  <w:num w:numId="11">
    <w:abstractNumId w:val="594986"/>
  </w:num>
  <w:num w:numId="12">
    <w:abstractNumId w:val="594987"/>
  </w:num>
  <w:num w:numId="13">
    <w:abstractNumId w:val="594988"/>
  </w:num>
  <w:num w:numId="14">
    <w:abstractNumId w:val="5949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2026-03-23T12:09:05Z</dcterms:created>
  <dc:creator>Apache POI</dc:creator>
</cp:coreProperties>
</file>