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bCs/>
          <w:color w:val="auto"/>
          <w:sz w:val="36"/>
          <w:szCs w:val="36"/>
          <w:lang w:val="en-US" w:eastAsia="zh-CN"/>
        </w:rPr>
      </w:pP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bCs/>
          <w:color w:val="auto"/>
          <w:sz w:val="36"/>
          <w:szCs w:val="36"/>
          <w:lang w:val="en-US" w:eastAsia="zh-CN"/>
        </w:rPr>
        <w:t xml:space="preserve">  均值回归策略</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1.1 策略思想</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bdr w:val="none" w:color="auto" w:sz="0" w:space="0"/>
          <w:shd w:val="clear" w:fill="FEFEFE"/>
        </w:rPr>
      </w:pPr>
      <w:r>
        <w:rPr>
          <w:rFonts w:hint="eastAsia" w:ascii="宋体" w:hAnsi="宋体" w:eastAsia="宋体" w:cs="宋体"/>
          <w:b w:val="0"/>
          <w:bCs w:val="0"/>
          <w:i w:val="0"/>
          <w:caps w:val="0"/>
          <w:color w:val="auto"/>
          <w:spacing w:val="23"/>
          <w:sz w:val="21"/>
          <w:szCs w:val="21"/>
          <w:bdr w:val="none" w:color="auto" w:sz="0" w:space="0"/>
          <w:shd w:val="clear" w:fill="FEFEFE"/>
        </w:rPr>
        <w:t>大部分量化策略都可以归类为均值回归与动量策略。事实上，只有当股票价格是均值回归或趋势的，交易策略才能盈利。否则，价格是随机游走的，交易将无利可图。均值回归是金融学的一个重要概念，指</w:t>
      </w:r>
      <w:r>
        <w:rPr>
          <w:rStyle w:val="4"/>
          <w:rFonts w:hint="eastAsia" w:ascii="宋体" w:hAnsi="宋体" w:eastAsia="宋体" w:cs="宋体"/>
          <w:b w:val="0"/>
          <w:bCs w:val="0"/>
          <w:i w:val="0"/>
          <w:caps w:val="0"/>
          <w:color w:val="auto"/>
          <w:spacing w:val="23"/>
          <w:sz w:val="21"/>
          <w:szCs w:val="21"/>
          <w:bdr w:val="none" w:color="auto" w:sz="0" w:space="0"/>
          <w:shd w:val="clear" w:fill="FEFEFE"/>
        </w:rPr>
        <w:t>股票价格无论高于或低于价值中枢都会以很高的概率向价值中枢回归的趋势</w:t>
      </w:r>
      <w:r>
        <w:rPr>
          <w:rFonts w:hint="eastAsia" w:ascii="宋体" w:hAnsi="宋体" w:eastAsia="宋体" w:cs="宋体"/>
          <w:b w:val="0"/>
          <w:bCs w:val="0"/>
          <w:i w:val="0"/>
          <w:caps w:val="0"/>
          <w:color w:val="auto"/>
          <w:spacing w:val="23"/>
          <w:sz w:val="21"/>
          <w:szCs w:val="21"/>
          <w:bdr w:val="none" w:color="auto" w:sz="0" w:space="0"/>
          <w:shd w:val="clear" w:fill="FEFEFE"/>
        </w:rPr>
        <w:t>。中国古语“盛极而衰，否极泰来”，就暗含着均值回归的思想。如果说要为均值回归寻找一个比较合理的理论解释，不妨借鉴一下索罗斯的“反身性理论”。索罗斯认为。</w:t>
      </w:r>
      <w:r>
        <w:rPr>
          <w:rStyle w:val="4"/>
          <w:rFonts w:hint="eastAsia" w:ascii="宋体" w:hAnsi="宋体" w:eastAsia="宋体" w:cs="宋体"/>
          <w:b w:val="0"/>
          <w:bCs w:val="0"/>
          <w:i w:val="0"/>
          <w:caps w:val="0"/>
          <w:color w:val="auto"/>
          <w:spacing w:val="23"/>
          <w:sz w:val="21"/>
          <w:szCs w:val="21"/>
          <w:bdr w:val="none" w:color="auto" w:sz="0" w:space="0"/>
          <w:shd w:val="clear" w:fill="FEFEFE"/>
        </w:rPr>
        <w:t>市场中存在正反馈和负反馈组成的反馈环（系统理论里的概念）</w:t>
      </w:r>
      <w:r>
        <w:rPr>
          <w:rFonts w:hint="eastAsia" w:ascii="宋体" w:hAnsi="宋体" w:eastAsia="宋体" w:cs="宋体"/>
          <w:b w:val="0"/>
          <w:bCs w:val="0"/>
          <w:i w:val="0"/>
          <w:caps w:val="0"/>
          <w:color w:val="auto"/>
          <w:spacing w:val="23"/>
          <w:sz w:val="21"/>
          <w:szCs w:val="21"/>
          <w:bdr w:val="none" w:color="auto" w:sz="0" w:space="0"/>
          <w:shd w:val="clear" w:fill="FEFEFE"/>
        </w:rPr>
        <w:t>，其中正反馈是自我强化的过程（惯性或趋势），而负反馈是一个自我纠正的过程，倾向于把价格带回到均值附近，如股票经过大幅上涨后，总有一些交易者会因为股票价格过高而抛售，一旦没有足够的买盘跟进，少数人的抛售就会引起价格下跌，而价格的下跌会引起更多人的抛售，从而形成下跌的正反馈效应。</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FFFFF"/>
        </w:rPr>
      </w:pPr>
      <w:r>
        <w:rPr>
          <w:rFonts w:hint="eastAsia" w:ascii="宋体" w:hAnsi="宋体" w:eastAsia="宋体" w:cs="宋体"/>
          <w:b w:val="0"/>
          <w:bCs w:val="0"/>
          <w:i w:val="0"/>
          <w:caps w:val="0"/>
          <w:color w:val="auto"/>
          <w:spacing w:val="23"/>
          <w:sz w:val="21"/>
          <w:szCs w:val="21"/>
          <w:shd w:val="clear" w:fill="FFFFFF"/>
        </w:rPr>
        <w:t>巴菲特价值投资策略和索罗斯的“反身”交易策略，从本质上来看都是均值回归理论的应用，所不同的是前者是基于价值低点向高点回归做多获得收益，后者则是通过泡沫破灭价值从高点向低点回归时做空进行投机获利。均值回归策略的思想很容易理解，实际操作中有很多构建的方法，比较常见的利用股价收益率偏离某段期间均值的若干个标准为阈值作为均值回归策略的买入卖出信号。</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1.2 策略规则</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1：当Zscore小于-1.5并且第二天开盘没有涨停时，在第二天开盘买入；</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2：当Zscore大于1.5且第二天开盘没有跌停时，在第二天开盘卖出，每次都是全仓买卖。</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1.3 策略代码</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1.3.1 样本数据</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 xml:space="preserve">      1) 测试数据范围： 沪深300指数股票</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1050" w:firstLineChars="5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2) 测试数据时间： 2014-01-30 到 2021-02-26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 xml:space="preserve">      3) 测试数据清洗： 过滤掉当日停牌的股票</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1.3.2 研究对象</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0"/>
        <w:textAlignment w:val="auto"/>
        <w:rPr>
          <w:rFonts w:hint="eastAsia" w:ascii="宋体" w:hAnsi="宋体" w:eastAsia="宋体" w:cs="宋体"/>
          <w:b w:val="0"/>
          <w:bCs w:val="0"/>
          <w:i w:val="0"/>
          <w:caps w:val="0"/>
          <w:color w:val="auto"/>
          <w:spacing w:val="23"/>
          <w:sz w:val="21"/>
          <w:szCs w:val="21"/>
          <w:shd w:val="clear" w:fill="FFFFFF"/>
        </w:rPr>
      </w:pPr>
      <w:r>
        <w:rPr>
          <w:rFonts w:hint="eastAsia" w:ascii="宋体" w:hAnsi="宋体" w:eastAsia="宋体" w:cs="宋体"/>
          <w:b w:val="0"/>
          <w:bCs w:val="0"/>
          <w:color w:val="auto"/>
          <w:sz w:val="21"/>
          <w:szCs w:val="21"/>
          <w:lang w:val="en-US" w:eastAsia="zh-CN"/>
        </w:rPr>
        <w:t>计算日收益率的滚动20日Zscore值：</w:t>
      </w:r>
      <w:bookmarkStart w:id="0" w:name="_GoBack"/>
      <w:bookmarkEnd w:id="0"/>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ret_20=returns.rolling(20).mean()</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std_20=returns.rolling(20).std()</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score=((returns-ret_20)/std_20)</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1.4 策略止损</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暂不设置     </w:t>
      </w: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1.5 策略回测</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中国平安</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drawing>
          <wp:inline distT="0" distB="0" distL="114300" distR="114300">
            <wp:extent cx="5640705" cy="2778760"/>
            <wp:effectExtent l="0" t="0" r="17145" b="2540"/>
            <wp:docPr id="4" name="图片 4" descr="中国平安20日收益均值标准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国平安20日收益均值标准化图"/>
                    <pic:cNvPicPr>
                      <a:picLocks noChangeAspect="1"/>
                    </pic:cNvPicPr>
                  </pic:nvPicPr>
                  <pic:blipFill>
                    <a:blip r:embed="rId4"/>
                    <a:stretch>
                      <a:fillRect/>
                    </a:stretch>
                  </pic:blipFill>
                  <pic:spPr>
                    <a:xfrm>
                      <a:off x="0" y="0"/>
                      <a:ext cx="5640705" cy="27787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drawing>
          <wp:inline distT="0" distB="0" distL="114300" distR="114300">
            <wp:extent cx="5721350" cy="2684780"/>
            <wp:effectExtent l="0" t="0" r="12700" b="1270"/>
            <wp:docPr id="5" name="图片 5" descr="中国平安策略累积净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国平安策略累积净值"/>
                    <pic:cNvPicPr>
                      <a:picLocks noChangeAspect="1"/>
                    </pic:cNvPicPr>
                  </pic:nvPicPr>
                  <pic:blipFill>
                    <a:blip r:embed="rId5"/>
                    <a:stretch>
                      <a:fillRect/>
                    </a:stretch>
                  </pic:blipFill>
                  <pic:spPr>
                    <a:xfrm>
                      <a:off x="0" y="0"/>
                      <a:ext cx="5721350" cy="2684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回测标的：中国平安</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回测期间：20140130—20210226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==============每笔交易收益率及同期股票涨跌幅===============</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start_date   end_date  trade_return  stock_return</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    2014-03-11 2014-03-24      0.043577      0.043390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50   2014-05-20 2014-06-11      0.032846      0.036682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70   2014-06-18 2014-07-15     -0.000103      0.000882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103  2014-08-04 2014-08-05      0.025282      0.017382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106  2014-08-07 2014-09-25     -0.022955     -0.034056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158  2014-10-28 2014-10-30      0.045318      0.048117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172  2014-11-18 2014-11-25      0.055800      0.055940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188  2014-12-10 2014-12-17      0.060832      0.074175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199  2014-12-25 2015-01-16      0.297385      0.289571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215  2015-01-20 2015-01-22      0.099429      0.071102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274  2015-04-21 2015-05-20     -0.007168      0.000351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301  2015-05-29 2015-06-09      0.069681      0.048932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321  2015-06-29 2015-07-01      0.025316      0.015756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329  2015-07-09 2015-08-27     -0.287984     -0.246407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386  2015-09-30 2015-11-05      0.148417      0.180086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424  2015-11-30 2015-12-03      0.054615      0.062942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429  2015-12-07 2015-12-15      0.014285      0.008868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445  2015-12-29 2016-02-01     -0.155181     -0.172830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482  2016-02-26 2016-03-03      0.031365      0.049031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531  2016-05-09 2016-05-13      0.005096      0.010189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564  2016-06-27 2016-07-13      0.046192      0.040053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588  2016-07-29 2016-08-10      0.001846      0.002772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601  2016-08-17 2016-09-20      0.033014      0.033415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628  2016-09-27 2016-10-31      0.004967      0.006689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650  2016-11-03 2016-11-22      0.035272      0.043631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670  2016-12-01 2017-01-17     -0.007702     -0.009633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711  2017-02-06 2017-02-21      0.030498      0.032284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754  2017-04-10 2017-04-26      0.000275      0.024865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773  2017-05-08 2017-05-11      0.068167      0.067364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799  2017-06-15 2017-07-06      0.068447      0.088541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826  2017-07-24 2017-08-02      0.052420      0.040031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910  2017-11-24 2017-12-11     -0.039785     -0.014398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934  2017-12-28 2018-01-16      0.104979      0.106040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956  2018-01-30 2018-02-14     -0.074074     -0.060931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990  2018-03-26 2018-04-11     -0.013007     -0.037411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1012 2018-04-27 2018-05-09     -0.007081     -0.002693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1034 2018-05-31 2018-06-01      0.013092      0.016322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1047 2018-06-20 2018-07-02     -0.058481     -0.110646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1056 2018-07-03 2018-07-10      0.061150      0.053603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1078 2018-08-02 2018-08-08      0.002357     -0.022110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1088 2018-08-16 2018-09-05      0.142425      0.101175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1103 2018-09-06 2018-09-25      0.077295      0.080475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1120 2018-10-09 2018-10-22      0.021352      0.048626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1135 2018-10-30 2018-11-05      0.108335      0.073870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1207 2019-02-18 2019-02-19      0.026292      0.038419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1214 2019-02-27 2019-04-01      0.109530      0.122696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1259 2019-05-07 2019-05-13     -0.030937     -0.031404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1320 2019-08-01 2019-08-13     -0.017715     -0.034964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1338 2019-08-27 2019-09-16      0.057058      0.052755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1353 2019-09-18 2019-11-04      0.005900      0.008601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1395 2019-11-22 2019-12-04     -0.032631     -0.026292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1437 2020-01-22 2020-02-05     -0.052236     -0.060982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1465 2020-03-10 2020-03-25     -0.096494     -0.099693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1498 2020-04-27 2020-06-02      0.038057      0.072455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1548 2020-07-13 2020-07-21      0.012696     -0.019188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1599 2020-09-22 2020-10-13      0.012171      0.005560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1632 2020-11-16 2020-11-17      0.029867      0.045930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1649 2020-12-09 2021-01-13      0.003390     -0.005792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====================账户交易的各项指标=====================</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交易次数为：58   最长持有天数为：49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每次平均涨幅为：0.021944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单次最大盈利为：0.297385  单次最大亏损为：-0.287984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年均买卖次数为：8.468000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最大连续盈利次数为：8  最大连续亏损次数为：3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策略年胜率为：75.0%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策略月胜率为：67.61%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策略周胜率为：57.29%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总收益率：  策略197.31%，股票423.24%, 指数147.0%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年化收益率：策略17.37%, 股票27.54%，指数14.21%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最大回撤：  策略38.79%, 股票45.75%，指数46.7%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策略Alpha： 0.11, Beta：0.45，夏普比率：1.95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中公教育</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drawing>
          <wp:inline distT="0" distB="0" distL="114300" distR="114300">
            <wp:extent cx="5271135" cy="2315210"/>
            <wp:effectExtent l="0" t="0" r="5715" b="8890"/>
            <wp:docPr id="6" name="图片 6" descr="20日收益标准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日收益标准化图"/>
                    <pic:cNvPicPr>
                      <a:picLocks noChangeAspect="1"/>
                    </pic:cNvPicPr>
                  </pic:nvPicPr>
                  <pic:blipFill>
                    <a:blip r:embed="rId6"/>
                    <a:stretch>
                      <a:fillRect/>
                    </a:stretch>
                  </pic:blipFill>
                  <pic:spPr>
                    <a:xfrm>
                      <a:off x="0" y="0"/>
                      <a:ext cx="5271135" cy="23152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drawing>
          <wp:inline distT="0" distB="0" distL="114300" distR="114300">
            <wp:extent cx="5271135" cy="2631440"/>
            <wp:effectExtent l="0" t="0" r="5715" b="16510"/>
            <wp:docPr id="7" name="图片 7" descr="中公教育策略回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中公教育策略回测"/>
                    <pic:cNvPicPr>
                      <a:picLocks noChangeAspect="1"/>
                    </pic:cNvPicPr>
                  </pic:nvPicPr>
                  <pic:blipFill>
                    <a:blip r:embed="rId7"/>
                    <a:stretch>
                      <a:fillRect/>
                    </a:stretch>
                  </pic:blipFill>
                  <pic:spPr>
                    <a:xfrm>
                      <a:off x="0" y="0"/>
                      <a:ext cx="5271135" cy="26314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回测标的：中公教育</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回测期间：20140130—20210226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==============每笔交易收益率及同期股票涨跌幅===============</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start_date   end_date  trade_return  stock_return</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    2014-03-11 2014-03-26      0.066489      0.064833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   2014-04-29 2014-06-16      0.053630      0.024212</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71   2014-06-19 2014-07-15      0.071670      0.065439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118  2014-08-25 2014-08-27      0.108864      0.137807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122  2014-08-29 2014-10-08      0.113580      0.179758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151  2014-10-17 2014-12-05     -0.040320     -0.098690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187  2014-12-08 2014-12-11     -0.032991     -0.031606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198  2014-12-23 2014-12-31      0.153032      0.085524</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225  2015-02-02 2015-02-12      0.064544      0.077658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245  2015-03-09 2015-03-11      0.041267      0.093407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255  2015-07-03 2015-08-05     -0.238999     -0.233845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284  2015-08-19 2015-09-16     -0.177420     -0.187561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350  2015-11-30 2015-12-10      0.069633      0.086410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375  2016-01-05 2016-01-20     -0.101954     -0.198868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408  2016-02-26 2016-03-21      0.254717      0.258481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446  2016-04-21 2016-05-17     -0.129014     -0.152198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481  2016-06-14 2016-07-25      0.226883      0.249507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513  2016-07-28 2016-08-22      0.016237     -0.001700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534  2016-08-26 2016-11-01      0.018438      0.025520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594  2016-11-29 2017-01-24     -0.151265     -0.151711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657  2017-03-06 2017-03-22     -0.001829      0.018314</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675  2017-03-30 2017-04-26     -0.190392     -0.181659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699  2017-05-08 2017-05-17     -0.049123     -0.044874</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735  2017-06-29 2017-08-15     -0.057139     -0.057264</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774  2017-08-23 2017-09-11      0.068803      0.086757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818  2017-10-31 2017-11-09      0.094318      0.116749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832  2017-11-20 2017-12-28     -0.099111     -0.088030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874  2018-06-06 2018-08-15     -0.186837     -0.186201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945  2018-09-18 2018-09-20      0.154545      0.141579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952  2018-09-28 2018-10-23      0.015422      0.048303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972  2018-11-12 2018-12-27     -0.157596     -0.209175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1039 2019-02-22 2019-02-25      0.181825      0.210012</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1062 2019-03-27 2019-03-28      0.104180      0.060713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1087 2019-05-07 2019-05-08      0.040811      0.086999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1110 2019-06-10 2019-06-12      0.047468      0.053195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1129 2019-07-05 2019-07-16     -0.054663     -0.040176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1151 2019-08-06 2019-08-15      0.017039      0.046185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1179 2019-09-16 2019-09-25      0.073531      0.039616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1187 2019-09-26 2019-10-10      0.027337      0.034425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1224 2019-11-25 2020-01-10      0.019978      0.015419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1265 2020-01-22 2020-02-05     -0.046288     -0.062150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1293 2020-03-10 2020-03-11      0.087619      0.051402</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1298 2020-03-17 2020-05-06      0.167813      0.185577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1350 2020-06-03 2020-07-08      0.039085      0.019499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1386 2020-07-27 2020-08-11      0.182884      0.208267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1399 2020-08-13 2020-09-24     -0.099374     -0.121028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1463 2020-11-19 2020-12-04     -0.031697     -0.021558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1489 2020-12-25 2021-01-13     -0.030978     -0.030997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====================账户交易的各项指标=====================</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交易次数为：48   最长持有天数为：70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每次平均涨幅为：0.014680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单次最大盈利为：0.254717  单次最大亏损为：-0.238999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年均买卖次数为：7.008000</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最大连续盈利次数为：5  最大连续亏损次数为：5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策略年胜率为：62.5%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策略月胜率为：51.47%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策略周胜率为：55.1%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总收益率：  策略48.25%，股票1164.06%, 指数74.69%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年化收益率：策略6.65%, 股票51.41%，指数9.55%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最大回撤：  策略59.25%, 股票59.24%，指数46.21%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策略Alpha： 0.02, Beta：0.5，夏普比率：0.69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均值回归策略应用了股市投资中经典的高抛低吸思想，该类型策略一般在震荡市中表现优异；但是在单边趋势行情中一般表现糟糕，往往会大幅跑输市场.</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17BBB"/>
    <w:rsid w:val="46AE5382"/>
    <w:rsid w:val="4D3F6D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cloud</dc:creator>
  <cp:lastModifiedBy>cloud</cp:lastModifiedBy>
  <dcterms:modified xsi:type="dcterms:W3CDTF">2021-03-03T07:48:29Z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