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b/>
          <w:bCs/>
          <w:sz w:val="36"/>
          <w:szCs w:val="36"/>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b/>
          <w:bCs/>
          <w:sz w:val="36"/>
          <w:szCs w:val="36"/>
          <w:lang w:val="en-US" w:eastAsia="zh-CN"/>
        </w:rPr>
        <w:t xml:space="preserve">   基本面BP单因子策略</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1.1 策略思想</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color w:val="auto"/>
          <w:sz w:val="21"/>
          <w:szCs w:val="21"/>
          <w:lang w:val="en-US" w:eastAsia="zh-CN"/>
        </w:rPr>
        <w:t xml:space="preserve">     </w:t>
      </w:r>
      <w:r>
        <w:rPr>
          <w:rFonts w:hint="eastAsia" w:ascii="宋体" w:hAnsi="宋体" w:eastAsia="宋体" w:cs="宋体"/>
          <w:i w:val="0"/>
          <w:caps w:val="0"/>
          <w:color w:val="auto"/>
          <w:spacing w:val="0"/>
          <w:sz w:val="21"/>
          <w:szCs w:val="21"/>
          <w:shd w:val="clear" w:fill="FFFFFF"/>
        </w:rPr>
        <w:t>讨论每个因子的预测性、稳定性、单调性和相关性等等指标。为下一步的多因子组合的构建打下基础</w:t>
      </w:r>
      <w:r>
        <w:rPr>
          <w:rFonts w:hint="eastAsia" w:ascii="宋体" w:hAnsi="宋体" w:eastAsia="宋体" w:cs="宋体"/>
          <w:i w:val="0"/>
          <w:caps w:val="0"/>
          <w:color w:val="333333"/>
          <w:spacing w:val="0"/>
          <w:sz w:val="21"/>
          <w:szCs w:val="21"/>
          <w:shd w:val="clear" w:fill="FFFFFF"/>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1.2 策略规则</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根据因子的单调性分析，做多第一组做空第十组投资组合</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1.3 策略代码</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630" w:firstLineChars="3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1.3.1 样本数据</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 xml:space="preserve">    1) 测试数据范围： 沪深300指数股票</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840" w:firstLineChars="4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2) 测试数据时间： 2014-01-30 到 2021-02-26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 xml:space="preserve">    3) 测试数据清洗： 剔除选股日ST/PT的股票；剔除上市不满一年的股票；</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剔除选股日由于停牌等原因而无法买入的股票。</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630" w:firstLineChars="3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1.3.2 研究对象</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因子去极值</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我们采用研究中最常用的winsorize缩尾处理，取置信区间为95%，超出区间的定义为异常值。对于异常值，把数值改为95%置信区间的边界。</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2) 因子标准化</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我们采用研究中常用的Rank标准化处理因子数据</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3) 因子中性化</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4) 因子有效性,稳定性检验</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1）主要通过t检验分析因子的有效性以及稳定性。</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值绝对值序列的均值：之所以要取绝对值，是因为只要t值显著不等于0即可以认为在当期，因子和收益率存在明显的相关性。但是这种相关性有的时候为正，有的时候为负，如果不取绝对值，则很多正负抵消，会低估因子的有效性；</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t值绝对值序列大于1.96的比例：检验|t| &gt; 1.96的比例主要是为了保证|t|平均值的稳定性， 避免出现少数数值特别大的样本值拉高均值。</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2）主要通过因子IC分析来判断因子的有效性和预测能力。</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因子k的IC值一般是指个股第T期在因子k上的暴露度与T + 1期的收益率的相关系数。当得到因子IC值序列后，我们可以仿照t检验的分析方法进行计算。</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IC值序列的均值及绝对值均值：判断因子有效性；</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IC值序列的标准差：判断因子稳定性；</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IC值序列大于零（或小于零）的占比：判断因子效果的一致性。</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为了同时能够展示所检验因子的单调性以及多空组合的收益情况，我们通过分层打分回溯的方法作为补充。进行分层回溯时，我们在各期期末按照因子值大小排序分成10等分，在分组时同样做行业中性处理，组内市值加权。</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5) 因子单调性检验</w:t>
      </w:r>
    </w:p>
    <w:p>
      <w:pPr>
        <w:keepNext w:val="0"/>
        <w:keepLines w:val="0"/>
        <w:pageBreakBefore w:val="0"/>
        <w:widowControl w:val="0"/>
        <w:kinsoku/>
        <w:wordWrap/>
        <w:overflowPunct/>
        <w:topLinePunct w:val="0"/>
        <w:autoSpaceDE/>
        <w:autoSpaceDN/>
        <w:bidi w:val="0"/>
        <w:adjustRightInd/>
        <w:snapToGrid/>
        <w:spacing w:line="10" w:lineRule="atLeast"/>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特别地，为了检验因子的单调性，对于每一个因子，取前一组的平均收益率和后一组平均收益率进行了组间差异t检验，同时绘制了第一组净值除以第十组净值的曲线、第一组净值除以基准净值的曲线、第十组净值除以基准净值的曲线。结果表明，对于BP因子，做多第一组做空第十组的超额收益部分来自做多第一组，部分来自做空第十组。这给我们未来的研究提供了一个思路：由于股票的不可做空性质，要尽可能找到做多第一组做空第十组的超额收益几乎全部来自做多第一组的因子，这才是好因子。</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1.4 策略止损</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sz w:val="21"/>
          <w:szCs w:val="21"/>
          <w:lang w:val="en-US" w:eastAsia="zh-CN"/>
        </w:rPr>
        <w:t xml:space="preserve">    21</w:t>
      </w:r>
      <w:r>
        <w:rPr>
          <w:rFonts w:hint="eastAsia" w:ascii="宋体" w:hAnsi="宋体" w:eastAsia="宋体" w:cs="宋体"/>
          <w:i w:val="0"/>
          <w:caps w:val="0"/>
          <w:color w:val="333333"/>
          <w:spacing w:val="0"/>
          <w:sz w:val="21"/>
          <w:szCs w:val="21"/>
          <w:shd w:val="clear" w:fill="FFFFFF"/>
          <w:lang w:val="en-US" w:eastAsia="zh-CN"/>
        </w:rPr>
        <w:t>天/月 调一次仓，不做固定和移动止盈止损</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i w:val="0"/>
          <w:caps w:val="0"/>
          <w:color w:val="333333"/>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1.5 策略回测</w:t>
      </w:r>
    </w:p>
    <w:p>
      <w:pPr>
        <w:keepNext w:val="0"/>
        <w:keepLines w:val="0"/>
        <w:pageBreakBefore w:val="0"/>
        <w:widowControl w:val="0"/>
        <w:kinsoku/>
        <w:wordWrap/>
        <w:overflowPunct/>
        <w:topLinePunct w:val="0"/>
        <w:autoSpaceDE/>
        <w:autoSpaceDN/>
        <w:bidi w:val="0"/>
        <w:adjustRightInd/>
        <w:snapToGrid/>
        <w:spacing w:line="10" w:lineRule="atLeast"/>
        <w:ind w:firstLine="630" w:firstLineChars="3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1.5.1 因子t值，IC值 </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0500" cy="3088005"/>
            <wp:effectExtent l="0" t="0" r="6350" b="171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4"/>
                    <a:stretch>
                      <a:fillRect/>
                    </a:stretch>
                  </pic:blipFill>
                  <pic:spPr>
                    <a:xfrm>
                      <a:off x="0" y="0"/>
                      <a:ext cx="5270500" cy="308800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val="0"/>
        <w:overflowPunct/>
        <w:topLinePunct w:val="0"/>
        <w:autoSpaceDE/>
        <w:autoSpaceDN/>
        <w:bidi w:val="0"/>
        <w:adjustRightInd/>
        <w:snapToGrid/>
        <w:spacing w:before="0" w:beforeAutospacing="0" w:after="0" w:afterAutospacing="0" w:line="10" w:lineRule="atLeast"/>
        <w:ind w:left="0" w:right="0" w:firstLine="420" w:firstLineChars="200"/>
        <w:textAlignment w:val="auto"/>
        <w:rPr>
          <w:rFonts w:hint="eastAsia" w:ascii="宋体" w:hAnsi="宋体" w:eastAsia="宋体" w:cs="宋体"/>
          <w:i w:val="0"/>
          <w:caps w:val="0"/>
          <w:color w:val="auto"/>
          <w:spacing w:val="0"/>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color w:val="auto"/>
          <w:sz w:val="21"/>
          <w:szCs w:val="21"/>
          <w:lang w:val="en-US" w:eastAsia="zh-CN"/>
        </w:rPr>
        <w:t xml:space="preserve"> </w:t>
      </w:r>
      <w:r>
        <w:rPr>
          <w:rFonts w:hint="eastAsia" w:ascii="宋体" w:hAnsi="宋体" w:eastAsia="宋体" w:cs="宋体"/>
          <w:i w:val="0"/>
          <w:caps w:val="0"/>
          <w:color w:val="auto"/>
          <w:spacing w:val="0"/>
          <w:sz w:val="21"/>
          <w:szCs w:val="21"/>
          <w:bdr w:val="none" w:color="auto" w:sz="0" w:space="0"/>
          <w:shd w:val="clear" w:fill="F7F7F7"/>
        </w:rPr>
        <w:t>t值序列</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4150" cy="2944495"/>
            <wp:effectExtent l="0" t="0" r="12700" b="825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5"/>
                    <a:stretch>
                      <a:fillRect/>
                    </a:stretch>
                  </pic:blipFill>
                  <pic:spPr>
                    <a:xfrm>
                      <a:off x="0" y="0"/>
                      <a:ext cx="5264150" cy="294449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val="0"/>
        <w:overflowPunct/>
        <w:topLinePunct w:val="0"/>
        <w:autoSpaceDE/>
        <w:autoSpaceDN/>
        <w:bidi w:val="0"/>
        <w:adjustRightInd/>
        <w:snapToGrid/>
        <w:spacing w:before="0" w:beforeAutospacing="0" w:after="0" w:afterAutospacing="0" w:line="10" w:lineRule="atLeast"/>
        <w:ind w:left="0" w:right="0" w:firstLine="420" w:firstLineChars="200"/>
        <w:textAlignment w:val="auto"/>
        <w:rPr>
          <w:rFonts w:hint="eastAsia" w:ascii="宋体" w:hAnsi="宋体" w:eastAsia="宋体" w:cs="宋体"/>
          <w:i w:val="0"/>
          <w:caps w:val="0"/>
          <w:color w:val="auto"/>
          <w:spacing w:val="0"/>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i w:val="0"/>
          <w:caps w:val="0"/>
          <w:color w:val="auto"/>
          <w:spacing w:val="0"/>
          <w:sz w:val="21"/>
          <w:szCs w:val="21"/>
          <w:bdr w:val="none" w:color="auto" w:sz="0" w:space="0"/>
          <w:shd w:val="clear" w:fill="F7F7F7"/>
        </w:rPr>
        <w:t>IC 值序列</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t值序列绝对值平均值——判断因子的显著性是否稳定 2.168120928408959</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t值序列绝对值大于1.96的占比——判断因子的显著性是否稳定 0.4588235294117647</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IC 值序列的均值大a小 -0.008661842738773696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IC 值序列的标准差 0.23841514633972996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IR 比率（IC值序列均值与标准差的比值） -0.03633092474096001</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IC 值序列大于零的占比 0.47058823529411764</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IC 值序列绝对值大于0.02的占比 0.9647058823529412</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1.5.2 因子分组测试</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630" w:firstLineChars="3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sz w:val="21"/>
          <w:szCs w:val="21"/>
          <w:lang w:val="en-US" w:eastAsia="zh-CN"/>
        </w:rPr>
        <w:t xml:space="preserve">1) </w:t>
      </w:r>
      <w:r>
        <w:rPr>
          <w:rFonts w:hint="eastAsia" w:ascii="宋体" w:hAnsi="宋体" w:eastAsia="宋体" w:cs="宋体"/>
          <w:i w:val="0"/>
          <w:caps w:val="0"/>
          <w:color w:val="auto"/>
          <w:spacing w:val="0"/>
          <w:sz w:val="21"/>
          <w:szCs w:val="21"/>
          <w:shd w:val="clear" w:fill="FFFFFF"/>
          <w:lang w:val="en-US" w:eastAsia="zh-CN"/>
        </w:rPr>
        <w:t>第1组的收益率先开始高于第10组的收益率，后面逐渐持平</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drawing>
          <wp:inline distT="0" distB="0" distL="114300" distR="114300">
            <wp:extent cx="5272405" cy="2508885"/>
            <wp:effectExtent l="0" t="0" r="4445" b="5715"/>
            <wp:docPr id="9" name="图片 9"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下载"/>
                    <pic:cNvPicPr>
                      <a:picLocks noChangeAspect="1"/>
                    </pic:cNvPicPr>
                  </pic:nvPicPr>
                  <pic:blipFill>
                    <a:blip r:embed="rId6"/>
                    <a:stretch>
                      <a:fillRect/>
                    </a:stretch>
                  </pic:blipFill>
                  <pic:spPr>
                    <a:xfrm>
                      <a:off x="0" y="0"/>
                      <a:ext cx="5272405" cy="250888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10" w:lineRule="atLeast"/>
        <w:ind w:firstLine="630" w:firstLineChars="3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i w:val="0"/>
          <w:caps w:val="0"/>
          <w:color w:val="auto"/>
          <w:spacing w:val="0"/>
          <w:sz w:val="21"/>
          <w:szCs w:val="21"/>
          <w:shd w:val="clear" w:fill="FFFFFF"/>
          <w:lang w:val="en-US" w:eastAsia="zh-CN"/>
        </w:rPr>
        <w:t xml:space="preserve">2) </w:t>
      </w:r>
      <w:r>
        <w:rPr>
          <w:rFonts w:hint="eastAsia" w:ascii="宋体" w:hAnsi="宋体" w:eastAsia="宋体" w:cs="宋体"/>
          <w:i w:val="0"/>
          <w:caps w:val="0"/>
          <w:color w:val="auto"/>
          <w:spacing w:val="0"/>
          <w:sz w:val="21"/>
          <w:szCs w:val="21"/>
          <w:shd w:val="clear" w:fill="FFFFFF"/>
        </w:rPr>
        <w:t>第</w:t>
      </w:r>
      <w:r>
        <w:rPr>
          <w:rFonts w:hint="eastAsia" w:ascii="宋体" w:hAnsi="宋体" w:eastAsia="宋体" w:cs="宋体"/>
          <w:i w:val="0"/>
          <w:caps w:val="0"/>
          <w:color w:val="auto"/>
          <w:spacing w:val="0"/>
          <w:sz w:val="21"/>
          <w:szCs w:val="21"/>
          <w:shd w:val="clear" w:fill="FFFFFF"/>
          <w:lang w:val="en-US" w:eastAsia="zh-CN"/>
        </w:rPr>
        <w:t>1</w:t>
      </w:r>
      <w:r>
        <w:rPr>
          <w:rFonts w:hint="eastAsia" w:ascii="宋体" w:hAnsi="宋体" w:eastAsia="宋体" w:cs="宋体"/>
          <w:i w:val="0"/>
          <w:caps w:val="0"/>
          <w:color w:val="auto"/>
          <w:spacing w:val="0"/>
          <w:sz w:val="21"/>
          <w:szCs w:val="21"/>
          <w:shd w:val="clear" w:fill="FFFFFF"/>
        </w:rPr>
        <w:t>组净值除以第</w:t>
      </w:r>
      <w:r>
        <w:rPr>
          <w:rFonts w:hint="eastAsia" w:ascii="宋体" w:hAnsi="宋体" w:eastAsia="宋体" w:cs="宋体"/>
          <w:i w:val="0"/>
          <w:caps w:val="0"/>
          <w:color w:val="auto"/>
          <w:spacing w:val="0"/>
          <w:sz w:val="21"/>
          <w:szCs w:val="21"/>
          <w:shd w:val="clear" w:fill="FFFFFF"/>
          <w:lang w:val="en-US" w:eastAsia="zh-CN"/>
        </w:rPr>
        <w:t>10</w:t>
      </w:r>
      <w:r>
        <w:rPr>
          <w:rFonts w:hint="eastAsia" w:ascii="宋体" w:hAnsi="宋体" w:eastAsia="宋体" w:cs="宋体"/>
          <w:i w:val="0"/>
          <w:caps w:val="0"/>
          <w:color w:val="auto"/>
          <w:spacing w:val="0"/>
          <w:sz w:val="21"/>
          <w:szCs w:val="21"/>
          <w:shd w:val="clear" w:fill="FFFFFF"/>
        </w:rPr>
        <w:t>组净值的曲线</w:t>
      </w:r>
      <w:r>
        <w:rPr>
          <w:rFonts w:hint="eastAsia" w:ascii="宋体" w:hAnsi="宋体" w:eastAsia="宋体" w:cs="宋体"/>
          <w:i w:val="0"/>
          <w:caps w:val="0"/>
          <w:color w:val="auto"/>
          <w:spacing w:val="0"/>
          <w:sz w:val="21"/>
          <w:szCs w:val="21"/>
          <w:shd w:val="clear" w:fill="FFFFFF"/>
          <w:lang w:val="en-US" w:eastAsia="zh-CN"/>
        </w:rPr>
        <w:t xml:space="preserve"> 先开始明显增大，从19年3-4月份趋势从增大变成减小</w:t>
      </w:r>
    </w:p>
    <w:p>
      <w:pPr>
        <w:keepNext w:val="0"/>
        <w:keepLines w:val="0"/>
        <w:pageBreakBefore w:val="0"/>
        <w:widowControl w:val="0"/>
        <w:numPr>
          <w:numId w:val="0"/>
        </w:numPr>
        <w:kinsoku/>
        <w:wordWrap/>
        <w:overflowPunct/>
        <w:topLinePunct w:val="0"/>
        <w:autoSpaceDE/>
        <w:autoSpaceDN/>
        <w:bidi w:val="0"/>
        <w:adjustRightInd/>
        <w:snapToGrid/>
        <w:spacing w:line="10" w:lineRule="atLeast"/>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drawing>
          <wp:inline distT="0" distB="0" distL="114300" distR="114300">
            <wp:extent cx="5262245" cy="2268220"/>
            <wp:effectExtent l="0" t="0" r="14605" b="17780"/>
            <wp:docPr id="10" name="图片 10"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下载 (1)"/>
                    <pic:cNvPicPr>
                      <a:picLocks noChangeAspect="1"/>
                    </pic:cNvPicPr>
                  </pic:nvPicPr>
                  <pic:blipFill>
                    <a:blip r:embed="rId7"/>
                    <a:stretch>
                      <a:fillRect/>
                    </a:stretch>
                  </pic:blipFill>
                  <pic:spPr>
                    <a:xfrm>
                      <a:off x="0" y="0"/>
                      <a:ext cx="5262245" cy="22682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10" w:lineRule="atLeast"/>
        <w:ind w:leftChars="200" w:firstLine="210" w:firstLineChars="100"/>
        <w:textAlignment w:val="auto"/>
        <w:rPr>
          <w:rFonts w:hint="eastAsia" w:ascii="宋体" w:hAnsi="宋体" w:eastAsia="宋体" w:cs="宋体"/>
          <w:i w:val="0"/>
          <w:caps w:val="0"/>
          <w:color w:val="auto"/>
          <w:spacing w:val="0"/>
          <w:sz w:val="21"/>
          <w:szCs w:val="21"/>
          <w:shd w:val="clear" w:fill="FFFFFF"/>
          <w:lang w:val="en-US" w:eastAsia="zh-CN"/>
        </w:rPr>
      </w:pPr>
      <w:r>
        <w:rPr>
          <w:rFonts w:hint="eastAsia" w:ascii="宋体" w:hAnsi="宋体" w:eastAsia="宋体" w:cs="宋体"/>
          <w:i w:val="0"/>
          <w:caps w:val="0"/>
          <w:color w:val="auto"/>
          <w:spacing w:val="0"/>
          <w:sz w:val="21"/>
          <w:szCs w:val="21"/>
          <w:shd w:val="clear" w:fill="FFFFFF"/>
          <w:lang w:val="en-US" w:eastAsia="zh-CN"/>
        </w:rPr>
        <w:t>第1组的的年化收益率和回撤率都稍好于第10组</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5259070" cy="2134870"/>
            <wp:effectExtent l="0" t="0" r="17780" b="17780"/>
            <wp:docPr id="11" name="图片 11"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下载 (2)"/>
                    <pic:cNvPicPr>
                      <a:picLocks noChangeAspect="1"/>
                    </pic:cNvPicPr>
                  </pic:nvPicPr>
                  <pic:blipFill>
                    <a:blip r:embed="rId8"/>
                    <a:stretch>
                      <a:fillRect/>
                    </a:stretch>
                  </pic:blipFill>
                  <pic:spPr>
                    <a:xfrm>
                      <a:off x="0" y="0"/>
                      <a:ext cx="5259070" cy="21348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630" w:firstLineChars="300"/>
        <w:jc w:val="both"/>
        <w:textAlignment w:val="auto"/>
        <w:rPr>
          <w:rFonts w:hint="eastAsia" w:ascii="宋体" w:hAnsi="宋体" w:eastAsia="宋体" w:cs="宋体"/>
          <w:sz w:val="21"/>
          <w:szCs w:val="21"/>
          <w:lang w:val="en-US" w:eastAsia="zh-CN"/>
        </w:rPr>
      </w:pPr>
      <w:r>
        <w:rPr>
          <w:rFonts w:hint="eastAsia" w:ascii="宋体" w:hAnsi="宋体" w:eastAsia="宋体" w:cs="宋体"/>
          <w:i w:val="0"/>
          <w:caps w:val="0"/>
          <w:color w:val="auto"/>
          <w:spacing w:val="0"/>
          <w:sz w:val="21"/>
          <w:szCs w:val="21"/>
          <w:shd w:val="clear" w:fill="FFFFFF"/>
          <w:lang w:val="en-US" w:eastAsia="zh-CN"/>
        </w:rPr>
        <w:t>4)第1组的夏普比率和波动率也要好于第10组</w:t>
      </w:r>
    </w:p>
    <w:p>
      <w:pPr>
        <w:keepNext w:val="0"/>
        <w:keepLines w:val="0"/>
        <w:pageBreakBefore w:val="0"/>
        <w:widowControl w:val="0"/>
        <w:numPr>
          <w:ilvl w:val="0"/>
          <w:numId w:val="0"/>
        </w:numPr>
        <w:kinsoku/>
        <w:wordWrap/>
        <w:overflowPunct/>
        <w:topLinePunct w:val="0"/>
        <w:autoSpaceDE/>
        <w:autoSpaceDN/>
        <w:bidi w:val="0"/>
        <w:adjustRightInd/>
        <w:snapToGrid/>
        <w:spacing w:line="10" w:lineRule="atLeast"/>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drawing>
          <wp:inline distT="0" distB="0" distL="114300" distR="114300">
            <wp:extent cx="5515610" cy="2357120"/>
            <wp:effectExtent l="0" t="0" r="8890" b="5080"/>
            <wp:docPr id="12" name="图片 12"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下载 (3)"/>
                    <pic:cNvPicPr>
                      <a:picLocks noChangeAspect="1"/>
                    </pic:cNvPicPr>
                  </pic:nvPicPr>
                  <pic:blipFill>
                    <a:blip r:embed="rId9"/>
                    <a:stretch>
                      <a:fillRect/>
                    </a:stretch>
                  </pic:blipFill>
                  <pic:spPr>
                    <a:xfrm>
                      <a:off x="0" y="0"/>
                      <a:ext cx="5515610" cy="23571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10" w:lineRule="atLeast"/>
        <w:ind w:left="525" w:leftChars="0" w:firstLine="0" w:firstLineChars="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前一组的平均收益率和后一组平均收益率进行了组间差异t检验</w:t>
      </w:r>
    </w:p>
    <w:p>
      <w:pPr>
        <w:keepNext w:val="0"/>
        <w:keepLines w:val="0"/>
        <w:pageBreakBefore w:val="0"/>
        <w:widowControl w:val="0"/>
        <w:numPr>
          <w:numId w:val="0"/>
        </w:numPr>
        <w:kinsoku/>
        <w:wordWrap/>
        <w:overflowPunct/>
        <w:topLinePunct w:val="0"/>
        <w:autoSpaceDE/>
        <w:autoSpaceDN/>
        <w:bidi w:val="0"/>
        <w:adjustRightInd/>
        <w:snapToGrid/>
        <w:spacing w:line="10" w:lineRule="atLeast"/>
        <w:ind w:firstLine="1050" w:firstLineChars="5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Ttest_1sampResult(statistic=85.341057053892484, pvalue=0.0)</w:t>
      </w:r>
    </w:p>
    <w:p>
      <w:pPr>
        <w:keepNext w:val="0"/>
        <w:keepLines w:val="0"/>
        <w:pageBreakBefore w:val="0"/>
        <w:widowControl w:val="0"/>
        <w:numPr>
          <w:numId w:val="0"/>
        </w:numPr>
        <w:kinsoku/>
        <w:wordWrap/>
        <w:overflowPunct/>
        <w:topLinePunct w:val="0"/>
        <w:autoSpaceDE/>
        <w:autoSpaceDN/>
        <w:bidi w:val="0"/>
        <w:adjustRightInd/>
        <w:snapToGrid/>
        <w:spacing w:line="10" w:lineRule="atLeast"/>
        <w:ind w:firstLine="1050" w:firstLineChars="500"/>
        <w:textAlignment w:val="auto"/>
        <w:rPr>
          <w:rFonts w:hint="default" w:ascii="宋体" w:hAnsi="宋体" w:eastAsia="宋体" w:cs="宋体"/>
          <w:sz w:val="21"/>
          <w:szCs w:val="21"/>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1.5.3 策略结果</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第1组BP因子</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tabs>
          <w:tab w:val="left" w:pos="1729"/>
        </w:tabs>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drawing>
          <wp:inline distT="0" distB="0" distL="114300" distR="114300">
            <wp:extent cx="5433060" cy="2365375"/>
            <wp:effectExtent l="0" t="0" r="15240" b="158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433060" cy="2365375"/>
                    </a:xfrm>
                    <a:prstGeom prst="rect">
                      <a:avLst/>
                    </a:prstGeom>
                    <a:noFill/>
                    <a:ln>
                      <a:noFill/>
                    </a:ln>
                  </pic:spPr>
                </pic:pic>
              </a:graphicData>
            </a:graphic>
          </wp:inline>
        </w:drawing>
      </w:r>
      <w:r>
        <w:rPr>
          <w:rFonts w:hint="eastAsia" w:ascii="宋体" w:hAnsi="宋体" w:eastAsia="宋体" w:cs="宋体"/>
          <w:sz w:val="21"/>
          <w:szCs w:val="21"/>
          <w:lang w:eastAsia="zh-CN"/>
        </w:rPr>
        <w:tab/>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i w:val="0"/>
          <w:caps w:val="0"/>
          <w:color w:val="auto"/>
          <w:spacing w:val="0"/>
          <w:sz w:val="21"/>
          <w:szCs w:val="21"/>
          <w:shd w:val="clear" w:fill="FFFFFF"/>
          <w:lang w:val="en-US" w:eastAsia="zh-CN"/>
        </w:rPr>
        <w:t>2014-01-30 到 2021-02-26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策略收益：</w:t>
      </w:r>
      <w:r>
        <w:rPr>
          <w:rFonts w:hint="eastAsia" w:ascii="宋体" w:hAnsi="宋体" w:eastAsia="宋体" w:cs="宋体"/>
          <w:sz w:val="21"/>
          <w:szCs w:val="21"/>
          <w:lang w:val="en-US" w:eastAsia="zh-CN"/>
        </w:rPr>
        <w:t>181.39</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策略年化收益：</w:t>
      </w:r>
      <w:r>
        <w:rPr>
          <w:rFonts w:hint="eastAsia" w:ascii="宋体" w:hAnsi="宋体" w:eastAsia="宋体" w:cs="宋体"/>
          <w:sz w:val="21"/>
          <w:szCs w:val="21"/>
          <w:lang w:val="en-US" w:eastAsia="zh-CN"/>
        </w:rPr>
        <w:t>16</w:t>
      </w:r>
      <w:r>
        <w:rPr>
          <w:rFonts w:hint="eastAsia" w:ascii="宋体" w:hAnsi="宋体" w:eastAsia="宋体" w:cs="宋体"/>
          <w:sz w:val="21"/>
          <w:szCs w:val="21"/>
        </w:rPr>
        <w:t>.</w:t>
      </w:r>
      <w:r>
        <w:rPr>
          <w:rFonts w:hint="eastAsia" w:ascii="宋体" w:hAnsi="宋体" w:eastAsia="宋体" w:cs="宋体"/>
          <w:sz w:val="21"/>
          <w:szCs w:val="21"/>
          <w:lang w:val="en-US" w:eastAsia="zh-CN"/>
        </w:rPr>
        <w:t>21</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策略年化波动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23</w:t>
      </w: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基准收益：</w:t>
      </w:r>
      <w:r>
        <w:rPr>
          <w:rFonts w:hint="eastAsia" w:ascii="宋体" w:hAnsi="宋体" w:eastAsia="宋体" w:cs="宋体"/>
          <w:sz w:val="21"/>
          <w:szCs w:val="21"/>
          <w:lang w:val="en-US" w:eastAsia="zh-CN"/>
        </w:rPr>
        <w:t>1</w:t>
      </w:r>
      <w:r>
        <w:rPr>
          <w:rFonts w:hint="eastAsia" w:ascii="宋体" w:hAnsi="宋体" w:eastAsia="宋体" w:cs="宋体"/>
          <w:sz w:val="21"/>
          <w:szCs w:val="21"/>
        </w:rPr>
        <w:t>39.</w:t>
      </w:r>
      <w:r>
        <w:rPr>
          <w:rFonts w:hint="eastAsia" w:ascii="宋体" w:hAnsi="宋体" w:eastAsia="宋体" w:cs="宋体"/>
          <w:sz w:val="21"/>
          <w:szCs w:val="21"/>
          <w:lang w:val="en-US" w:eastAsia="zh-CN"/>
        </w:rPr>
        <w:t>5</w:t>
      </w:r>
      <w:r>
        <w:rPr>
          <w:rFonts w:hint="eastAsia" w:ascii="宋体" w:hAnsi="宋体" w:eastAsia="宋体" w:cs="宋体"/>
          <w:sz w:val="21"/>
          <w:szCs w:val="21"/>
        </w:rPr>
        <w:t>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阿尔法：</w:t>
      </w:r>
      <w:r>
        <w:rPr>
          <w:rFonts w:hint="eastAsia" w:ascii="宋体" w:hAnsi="宋体" w:eastAsia="宋体" w:cs="宋体"/>
          <w:sz w:val="21"/>
          <w:szCs w:val="21"/>
          <w:lang w:val="en-US" w:eastAsia="zh-CN"/>
        </w:rPr>
        <w:t>0.04</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贝塔：</w:t>
      </w:r>
      <w:r>
        <w:rPr>
          <w:rFonts w:hint="eastAsia" w:ascii="宋体" w:hAnsi="宋体" w:eastAsia="宋体" w:cs="宋体"/>
          <w:sz w:val="21"/>
          <w:szCs w:val="21"/>
          <w:lang w:val="en-US" w:eastAsia="zh-CN"/>
        </w:rPr>
        <w:t>0.861</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夏普比率</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0.525</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最大回撤：</w:t>
      </w:r>
      <w:r>
        <w:rPr>
          <w:rFonts w:hint="eastAsia" w:ascii="宋体" w:hAnsi="宋体" w:eastAsia="宋体" w:cs="宋体"/>
          <w:sz w:val="21"/>
          <w:szCs w:val="21"/>
          <w:lang w:val="en-US" w:eastAsia="zh-CN"/>
        </w:rPr>
        <w:t>38</w:t>
      </w:r>
      <w:r>
        <w:rPr>
          <w:rFonts w:hint="eastAsia" w:ascii="宋体" w:hAnsi="宋体" w:eastAsia="宋体" w:cs="宋体"/>
          <w:sz w:val="21"/>
          <w:szCs w:val="21"/>
        </w:rPr>
        <w:t>.</w:t>
      </w:r>
      <w:r>
        <w:rPr>
          <w:rFonts w:hint="eastAsia" w:ascii="宋体" w:hAnsi="宋体" w:eastAsia="宋体" w:cs="宋体"/>
          <w:sz w:val="21"/>
          <w:szCs w:val="21"/>
          <w:lang w:val="en-US" w:eastAsia="zh-CN"/>
        </w:rPr>
        <w:t>56</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第10组BP因子</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431790" cy="2576195"/>
            <wp:effectExtent l="0" t="0" r="16510" b="146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431790" cy="25761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i w:val="0"/>
          <w:caps w:val="0"/>
          <w:color w:val="auto"/>
          <w:spacing w:val="0"/>
          <w:sz w:val="21"/>
          <w:szCs w:val="21"/>
          <w:shd w:val="clear" w:fill="FFFFFF"/>
          <w:lang w:val="en-US" w:eastAsia="zh-CN"/>
        </w:rPr>
        <w:t>2014-01-30 到 2021-02-26</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策略收益： </w:t>
      </w:r>
      <w:r>
        <w:rPr>
          <w:rFonts w:hint="eastAsia" w:ascii="宋体" w:hAnsi="宋体" w:eastAsia="宋体" w:cs="宋体"/>
          <w:sz w:val="21"/>
          <w:szCs w:val="21"/>
          <w:lang w:val="en-US" w:eastAsia="zh-CN"/>
        </w:rPr>
        <w:t>144.41</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策略年化收益：</w:t>
      </w:r>
      <w:r>
        <w:rPr>
          <w:rFonts w:hint="eastAsia" w:ascii="宋体" w:hAnsi="宋体" w:eastAsia="宋体" w:cs="宋体"/>
          <w:sz w:val="21"/>
          <w:szCs w:val="21"/>
          <w:lang w:val="en-US" w:eastAsia="zh-CN"/>
        </w:rPr>
        <w:t>13.85</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策略年化波动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28.7</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基准收益：</w:t>
      </w:r>
      <w:r>
        <w:rPr>
          <w:rFonts w:hint="eastAsia" w:ascii="宋体" w:hAnsi="宋体" w:eastAsia="宋体" w:cs="宋体"/>
          <w:sz w:val="21"/>
          <w:szCs w:val="21"/>
          <w:lang w:val="en-US" w:eastAsia="zh-CN"/>
        </w:rPr>
        <w:t>1</w:t>
      </w:r>
      <w:r>
        <w:rPr>
          <w:rFonts w:hint="eastAsia" w:ascii="宋体" w:hAnsi="宋体" w:eastAsia="宋体" w:cs="宋体"/>
          <w:sz w:val="21"/>
          <w:szCs w:val="21"/>
        </w:rPr>
        <w:t>39.</w:t>
      </w:r>
      <w:r>
        <w:rPr>
          <w:rFonts w:hint="eastAsia" w:ascii="宋体" w:hAnsi="宋体" w:eastAsia="宋体" w:cs="宋体"/>
          <w:sz w:val="21"/>
          <w:szCs w:val="21"/>
          <w:lang w:val="en-US" w:eastAsia="zh-CN"/>
        </w:rPr>
        <w:t>56</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阿尔法：</w:t>
      </w:r>
      <w:r>
        <w:rPr>
          <w:rFonts w:hint="eastAsia" w:ascii="宋体" w:hAnsi="宋体" w:eastAsia="宋体" w:cs="宋体"/>
          <w:sz w:val="21"/>
          <w:szCs w:val="21"/>
          <w:lang w:val="en-US" w:eastAsia="zh-CN"/>
        </w:rPr>
        <w:t>0.003</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贝塔：1.0</w:t>
      </w:r>
      <w:r>
        <w:rPr>
          <w:rFonts w:hint="eastAsia" w:ascii="宋体" w:hAnsi="宋体" w:eastAsia="宋体" w:cs="宋体"/>
          <w:sz w:val="21"/>
          <w:szCs w:val="21"/>
          <w:lang w:val="en-US" w:eastAsia="zh-CN"/>
        </w:rPr>
        <w:t>03</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夏普比率</w:t>
      </w:r>
      <w:r>
        <w:rPr>
          <w:rFonts w:hint="eastAsia" w:ascii="宋体" w:hAnsi="宋体" w:eastAsia="宋体" w:cs="宋体"/>
          <w:sz w:val="21"/>
          <w:szCs w:val="21"/>
          <w:lang w:eastAsia="zh-CN"/>
        </w:rPr>
        <w:t>：</w:t>
      </w:r>
      <w:r>
        <w:rPr>
          <w:rFonts w:hint="eastAsia" w:ascii="宋体" w:hAnsi="宋体" w:eastAsia="宋体" w:cs="宋体"/>
          <w:sz w:val="21"/>
          <w:szCs w:val="21"/>
        </w:rPr>
        <w:t>0.</w:t>
      </w:r>
      <w:r>
        <w:rPr>
          <w:rFonts w:hint="eastAsia" w:ascii="宋体" w:hAnsi="宋体" w:eastAsia="宋体" w:cs="宋体"/>
          <w:sz w:val="21"/>
          <w:szCs w:val="21"/>
          <w:lang w:val="en-US" w:eastAsia="zh-CN"/>
        </w:rPr>
        <w:t>613</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最大回撤：</w:t>
      </w:r>
      <w:r>
        <w:rPr>
          <w:rFonts w:hint="eastAsia" w:ascii="宋体" w:hAnsi="宋体" w:eastAsia="宋体" w:cs="宋体"/>
          <w:sz w:val="21"/>
          <w:szCs w:val="21"/>
          <w:lang w:val="en-US" w:eastAsia="zh-CN"/>
        </w:rPr>
        <w:t>63</w:t>
      </w:r>
      <w:r>
        <w:rPr>
          <w:rFonts w:hint="eastAsia" w:ascii="宋体" w:hAnsi="宋体" w:eastAsia="宋体" w:cs="宋体"/>
          <w:sz w:val="21"/>
          <w:szCs w:val="21"/>
        </w:rPr>
        <w:t>.</w:t>
      </w:r>
      <w:r>
        <w:rPr>
          <w:rFonts w:hint="eastAsia" w:ascii="宋体" w:hAnsi="宋体" w:eastAsia="宋体" w:cs="宋体"/>
          <w:sz w:val="21"/>
          <w:szCs w:val="21"/>
          <w:lang w:val="en-US" w:eastAsia="zh-CN"/>
        </w:rPr>
        <w:t>58</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10" w:lineRule="atLeast"/>
        <w:ind w:firstLine="420" w:firstLineChars="200"/>
        <w:textAlignment w:val="auto"/>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42D93F"/>
    <w:multiLevelType w:val="singleLevel"/>
    <w:tmpl w:val="B942D93F"/>
    <w:lvl w:ilvl="0" w:tentative="0">
      <w:start w:val="5"/>
      <w:numFmt w:val="decimal"/>
      <w:suff w:val="space"/>
      <w:lvlText w:val="%1）"/>
      <w:lvlJc w:val="left"/>
      <w:pPr>
        <w:ind w:left="525" w:leftChars="0" w:firstLine="0" w:firstLineChars="0"/>
      </w:pPr>
    </w:lvl>
  </w:abstractNum>
  <w:abstractNum w:abstractNumId="1">
    <w:nsid w:val="DC4A9922"/>
    <w:multiLevelType w:val="singleLevel"/>
    <w:tmpl w:val="DC4A9922"/>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C57F4F"/>
    <w:rsid w:val="2F8D1F5F"/>
    <w:rsid w:val="3D8771C0"/>
    <w:rsid w:val="3E314D0B"/>
    <w:rsid w:val="3FBF13AD"/>
    <w:rsid w:val="43845042"/>
    <w:rsid w:val="45A17D29"/>
    <w:rsid w:val="56772602"/>
    <w:rsid w:val="56BE6D02"/>
    <w:rsid w:val="5A80144D"/>
    <w:rsid w:val="621339FE"/>
    <w:rsid w:val="732910CE"/>
    <w:rsid w:val="797A6CE6"/>
    <w:rsid w:val="7FC406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cloud</dc:creator>
  <cp:lastModifiedBy>cloud</cp:lastModifiedBy>
  <dcterms:modified xsi:type="dcterms:W3CDTF">2021-03-02T14:09:26Z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