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" w:lineRule="atLeast"/>
        <w:ind w:right="0" w:firstLine="1807" w:firstLineChars="5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36"/>
          <w:szCs w:val="36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36"/>
          <w:szCs w:val="36"/>
          <w:shd w:val="clear" w:fill="FFFFFF"/>
        </w:rPr>
        <w:t>市值解释因子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36"/>
          <w:szCs w:val="36"/>
          <w:shd w:val="clear" w:fill="FFFFFF"/>
          <w:lang w:eastAsia="zh-CN"/>
        </w:rPr>
        <w:t>的多因子策略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82" w:firstLineChars="200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1.1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策略思想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所谓因子，通俗来讲就是一个“标准”，这个“标准”决定我们选择哪些股票，决定我们什么时候买入卖出，决定我们交易的份额。而多因子，顾名思义就是根据多个“标准”确定我们的投资策略，最为经典的多因子模型之一当属Fama和French提出的三因子模型，而其基本思路为，我们假定股票的超额收益率可以由市场风险，市值风险，账面市值比三个因素决定，因此我们将股票一个时期内的超额收益率对这三个因素进行回归，再将回归得到的参数对本时期内的超额收益率进行预测，比较真实值和预测值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如果预测值大于真实值，也就是说理论上的超额收益率应该大于当前的超额收益率，那么根据有效市场假说，未来的超额收益率应该上升，反之亦然。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2005年，在哈佛大学Matthew Rhodes-Kropf教授以及杜克大学S. Viwanathan和David T. Robinson教授合著的论文《Valuation Waves and Merger Activity: The Empirical Evidence》中，股票市值被分解为如下的三因子模型：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1"/>
          <w:szCs w:val="21"/>
        </w:rPr>
        <w:drawing>
          <wp:inline distT="0" distB="0" distL="114300" distR="114300">
            <wp:extent cx="5270500" cy="52260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其中，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IND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为行业虚拟变量矩阵（若该股属于某行业，则将这一行业虚拟变量的值设为1，其他行业虚拟变量的值设为0），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m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为个股的对数市值，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为个股的对数净资产，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NI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为公司净利润，这里注意，为了区分净利润的正负，增加了一个代表正负的虚拟变量，当且仅当净利润为负时，这个虚拟变量的值为1，并且我们取净利润绝对值的对数作为自变量。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LEV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为公司的财务杠杆（负债除以资产）。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2012年，马里兰大学的Charles R. Hulten教授及其博士生Janet X. Hao发表的论文《The Role Of Intangible Capital in the Transformation and Growth of the Chinese Economy》中，发现上市公司的市值与其净资产、开发支出、组织资本以及市盈率密不可分，选取开发支出力度大的公司进行下述回归，拟合优度可以达到94%。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drawing>
          <wp:inline distT="0" distB="0" distL="114300" distR="114300">
            <wp:extent cx="3676650" cy="60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其中，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α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为年度虚拟变量矩阵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m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为个股的对数市值，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为个股的对数净资产，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RD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为对数开发支出，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O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为对数组织资本，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PE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为市盈率。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综上所述，我们可以认为，股票在某一时间点的市值可以被多个因子解释，我们把这些因子统称为市值解释因子，由于股票价格等于股票总市值除以股票数量，因此在股票数量不变的情况下，我们可以用市值解释因子对股票价格进行预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82" w:firstLineChars="200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1.2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策略规则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根据多因子策略的基本思路，在截面上将市值对多个因子进行回归，得到的残差值越小，说明股票市值向下偏离其理论值越严重，也就意味着该股票未来上涨的可能性越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大。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每十个交易日进行一次回归，并将回归得到的结果用到当日的股票上，计算预测值与真实值之间的差距（残差），按照残差从小到大的顺序对股票进行排序，依据不同分位数，分十档买入，每十个交易日进行一次调仓，将不在该档的股票卖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82" w:firstLineChars="200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1.3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策略代码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840" w:firstLineChars="4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1.3.1 样本数据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1) 测试数据范围： 中证全指股票(剔除st股与前三个月的新股，剩下所有股的综合指数)  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1050" w:firstLineChars="5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2) 测试数据时间： 2014-01-30 到 2021-02-26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3) 测试数据清洗： 过滤掉当日停牌的股票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840" w:firstLineChars="4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1.3.2 研究对象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1050" w:firstLineChars="5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其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m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为个股的对数市值，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IND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为行业虚拟变量矩阵（若该股属于某行业，则将这一行业虚拟变量的值设为1，其他行业虚拟变量的值设为0），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为个股的对数净资产，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NI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为公司净利润，这里注意，为了区分净利润的正负，我们增加了一个代表正负的虚拟变量，当且仅当净利润为负时，这个虚拟变量的值为1，并且我们取净利润绝对值的对数作为自变量。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LEV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为公司的财务杠杆（负债除以资产），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为营业收入的增长率（年度同比），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RD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为对数开发支出（若没有则为0）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82" w:firstLineChars="200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1.4 策略止损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10天调一次仓，不做固定和移动止盈止损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82" w:firstLineChars="200"/>
        <w:textAlignment w:val="auto"/>
        <w:rPr>
          <w:rFonts w:hint="default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1.5 策略回测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840" w:firstLineChars="4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1.5.1 因子分组测试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840" w:firstLineChars="4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480" w:leftChars="0"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第1组的收益率明显高于第10组的收益率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613400" cy="2570480"/>
            <wp:effectExtent l="0" t="0" r="6350" b="1270"/>
            <wp:docPr id="9" name="图片 9" descr="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下载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480" w:leftChars="0"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第1组的的年化收益率和回撤率都要明显好于第10组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565775" cy="2548890"/>
            <wp:effectExtent l="0" t="0" r="15875" b="3810"/>
            <wp:docPr id="10" name="图片 10" descr="下载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下载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480" w:leftChars="0"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第1组的夏普比率也要好于第10组，但是波动性上第1组要大于第10组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579745" cy="2844800"/>
            <wp:effectExtent l="0" t="0" r="1905" b="0"/>
            <wp:docPr id="12" name="图片 12" descr="下载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下载 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1.5.2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735" w:leftChars="0" w:firstLine="0" w:firstLineChars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策略：SVR模型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drawing>
          <wp:inline distT="0" distB="0" distL="114300" distR="114300">
            <wp:extent cx="5455920" cy="2487930"/>
            <wp:effectExtent l="0" t="0" r="1143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策略收益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：634.93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%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策略年化收益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：33.59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%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策略年化波动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：28.1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%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基准收益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：52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38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%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阿尔法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0.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贝塔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:：0.878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夏普比率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0.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985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最大回撤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：36.9%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735" w:leftChars="0" w:firstLine="0" w:firstLineChars="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策略：RandomForest模型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drawing>
          <wp:inline distT="0" distB="0" distL="114300" distR="114300">
            <wp:extent cx="5581650" cy="25869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策略收益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：164.08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%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策略年化收益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15.14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%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策略年化波动: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：28.9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%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基准收益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：52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38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%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阿尔法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0.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088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贝塔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:：0.999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夏普比率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0.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385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最大回撤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：55.22%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11282"/>
    <w:multiLevelType w:val="singleLevel"/>
    <w:tmpl w:val="0EF11282"/>
    <w:lvl w:ilvl="0" w:tentative="0">
      <w:start w:val="1"/>
      <w:numFmt w:val="decimal"/>
      <w:suff w:val="space"/>
      <w:lvlText w:val="%1)"/>
      <w:lvlJc w:val="left"/>
      <w:pPr>
        <w:ind w:left="735" w:leftChars="0" w:firstLine="0" w:firstLineChars="0"/>
      </w:pPr>
    </w:lvl>
  </w:abstractNum>
  <w:abstractNum w:abstractNumId="1">
    <w:nsid w:val="78B333C7"/>
    <w:multiLevelType w:val="singleLevel"/>
    <w:tmpl w:val="78B333C7"/>
    <w:lvl w:ilvl="0" w:tentative="0">
      <w:start w:val="1"/>
      <w:numFmt w:val="decimal"/>
      <w:suff w:val="space"/>
      <w:lvlText w:val="%1)"/>
      <w:lvlJc w:val="left"/>
      <w:pPr>
        <w:ind w:left="48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8F38F6"/>
    <w:rsid w:val="1E6313E4"/>
    <w:rsid w:val="2E500D9B"/>
    <w:rsid w:val="32C17B8F"/>
    <w:rsid w:val="3EA82186"/>
    <w:rsid w:val="474B799A"/>
    <w:rsid w:val="4D3D53A5"/>
    <w:rsid w:val="4E7F60F4"/>
    <w:rsid w:val="798F7A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cloud</dc:creator>
  <cp:lastModifiedBy>cloud</cp:lastModifiedBy>
  <dcterms:modified xsi:type="dcterms:W3CDTF">2021-03-02T08:31:48Z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