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r>
        <w:rPr>
          <w:rFonts w:hint="eastAsia"/>
          <w:lang w:val="en-US" w:eastAsia="zh-CN"/>
        </w:rPr>
        <w:t xml:space="preserve">                </w:t>
      </w:r>
      <w:bookmarkStart w:id="0" w:name="_GoBack"/>
      <w:bookmarkEnd w:id="0"/>
      <w:r>
        <w:rPr>
          <w:rFonts w:hint="eastAsia"/>
          <w:lang w:val="en-US" w:eastAsia="zh-CN"/>
        </w:rPr>
        <w:t xml:space="preserve"> </w:t>
      </w:r>
      <w:r>
        <w:rPr>
          <w:rFonts w:hint="eastAsia" w:ascii="宋体" w:hAnsi="宋体" w:eastAsia="宋体" w:cs="宋体"/>
          <w:sz w:val="36"/>
          <w:szCs w:val="36"/>
          <w:lang w:val="en-US" w:eastAsia="zh-CN"/>
        </w:rPr>
        <w:t>Fama-French五因子策略</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10" w:lineRule="atLeast"/>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1.1 策略思想</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1993年Fama和French提出了著名的三因子模型，把个股的超额收益率分解成市值因素、账面市值比因素和其他未被解释的因素（可以看成是新的α），用数学式来表示就是：</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drawing>
          <wp:inline distT="0" distB="0" distL="114300" distR="114300">
            <wp:extent cx="4530090" cy="733425"/>
            <wp:effectExtent l="0" t="0" r="381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30090" cy="7334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其中Ri=ri−rf，就是股票i比起无风险投资的期望超额收益率，RM=rM−rf，就是市场相对无风险投资的期望超额收益率，E(SMB)小市值公司相对大市值公司股票的期望超额收益率，E(HML)则是高B/M公司股票比起低B/M的公司股票的期望超额收益率，而 ei是回归残差项。如果三因子模型中的三个因子可以完全解释各种风险带来的超额收益，那么任何一个股票以及任何一个投资组合的ai的真实值应该为0。在过去20年里面，很多学者对三因子模型进行实证分析，发现有些股票的ai显著不为0，这说明三因子模型中的三个风险（因素）并不能解释所有超额收益。后来，Fama和French发现在上述风险之外，还有盈利水平风险、投资水平风险也能带来个股的超额收益，并于2013年提出了五因子模型。该模型更加充分地解释个股的超额收益，其表达式为：</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drawing>
          <wp:inline distT="0" distB="0" distL="114300" distR="114300">
            <wp:extent cx="5271135" cy="645795"/>
            <wp:effectExtent l="0" t="0" r="5715"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1135" cy="6457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表达式看，五因子模型比三因子模型里面多出来了两项：E(RMW)是高/低盈利股票投资组合的回报之差，而E(CMA)则是低/高再投资比例公司股票投资组合的回报之差。这两项分别描述了盈利水平风险、投资水平风险（注意这里的投资水平不是二级市场的投资水平，而可以通俗的解释为企业扩大再生产的能力）。与三因子类似，参数估计的方法仍然是用多元线性回归的方法，这里的aiaiai则是五因子模型里面尚未解释的超额收益。</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10" w:lineRule="atLeast"/>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1.2 策略规则</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先设定一个调仓频率，每T=1</w:t>
      </w:r>
      <w:r>
        <w:rPr>
          <w:rFonts w:hint="eastAsia" w:ascii="宋体" w:hAnsi="宋体" w:eastAsia="宋体" w:cs="宋体"/>
          <w:sz w:val="21"/>
          <w:szCs w:val="21"/>
          <w:lang w:val="en-US" w:eastAsia="zh-CN"/>
        </w:rPr>
        <w:t>0</w:t>
      </w:r>
      <w:r>
        <w:rPr>
          <w:rFonts w:hint="eastAsia" w:ascii="宋体" w:hAnsi="宋体" w:eastAsia="宋体" w:cs="宋体"/>
          <w:sz w:val="21"/>
          <w:szCs w:val="21"/>
        </w:rPr>
        <w:t>天调仓一次</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设定一个样本长度S=63天。</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然后在调仓日对于过去S天的数据进行回归分析，计算出每个股票在过去的S天里面α观测值，</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4</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然后买入α最小的N（N=10）支股票即可。</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假设五因子模型中的五类风险能够很好地解释个股的超额收益，ai的长期均值应该是0。因此，如果对于某个时期的股票，ai&lt;0，说明这段时间里面收益率偏低（因此股价也偏低），而由于均值需要回归，所以这个股票在未来要涨回来的。</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10" w:lineRule="atLeast"/>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1.3 策略代码</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840" w:firstLineChars="400"/>
        <w:textAlignment w:val="auto"/>
        <w:rPr>
          <w:rFonts w:hint="eastAsia" w:ascii="宋体" w:hAnsi="宋体" w:eastAsia="宋体" w:cs="宋体"/>
          <w:i w:val="0"/>
          <w:caps w:val="0"/>
          <w:color w:val="auto"/>
          <w:spacing w:val="0"/>
          <w:sz w:val="21"/>
          <w:szCs w:val="21"/>
          <w:shd w:val="clear" w:fill="FFFFFF"/>
          <w:lang w:val="en-US" w:eastAsia="zh-CN"/>
        </w:rPr>
      </w:pPr>
      <w:r>
        <w:rPr>
          <w:rFonts w:hint="eastAsia" w:ascii="宋体" w:hAnsi="宋体" w:eastAsia="宋体" w:cs="宋体"/>
          <w:i w:val="0"/>
          <w:caps w:val="0"/>
          <w:color w:val="auto"/>
          <w:spacing w:val="0"/>
          <w:sz w:val="21"/>
          <w:szCs w:val="21"/>
          <w:shd w:val="clear" w:fill="FFFFFF"/>
          <w:lang w:val="en-US" w:eastAsia="zh-CN"/>
        </w:rPr>
        <w:t>1.3.1 样本数据</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i w:val="0"/>
          <w:caps w:val="0"/>
          <w:color w:val="auto"/>
          <w:spacing w:val="0"/>
          <w:sz w:val="21"/>
          <w:szCs w:val="21"/>
          <w:shd w:val="clear" w:fill="FFFFFF"/>
          <w:lang w:val="en-US" w:eastAsia="zh-CN"/>
        </w:rPr>
      </w:pPr>
      <w:r>
        <w:rPr>
          <w:rFonts w:hint="eastAsia" w:ascii="宋体" w:hAnsi="宋体" w:eastAsia="宋体" w:cs="宋体"/>
          <w:i w:val="0"/>
          <w:caps w:val="0"/>
          <w:color w:val="auto"/>
          <w:spacing w:val="0"/>
          <w:sz w:val="21"/>
          <w:szCs w:val="21"/>
          <w:shd w:val="clear" w:fill="FFFFFF"/>
          <w:lang w:val="en-US" w:eastAsia="zh-CN"/>
        </w:rPr>
        <w:t xml:space="preserve">    1) 测试数据范围：沪深300指数股票</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840" w:firstLineChars="400"/>
        <w:textAlignment w:val="auto"/>
        <w:rPr>
          <w:rFonts w:hint="eastAsia" w:ascii="宋体" w:hAnsi="宋体" w:eastAsia="宋体" w:cs="宋体"/>
          <w:i w:val="0"/>
          <w:caps w:val="0"/>
          <w:color w:val="auto"/>
          <w:spacing w:val="0"/>
          <w:sz w:val="21"/>
          <w:szCs w:val="21"/>
          <w:shd w:val="clear" w:fill="FFFFFF"/>
          <w:lang w:val="en-US" w:eastAsia="zh-CN"/>
        </w:rPr>
      </w:pPr>
      <w:r>
        <w:rPr>
          <w:rFonts w:hint="eastAsia" w:ascii="宋体" w:hAnsi="宋体" w:eastAsia="宋体" w:cs="宋体"/>
          <w:i w:val="0"/>
          <w:caps w:val="0"/>
          <w:color w:val="auto"/>
          <w:spacing w:val="0"/>
          <w:sz w:val="21"/>
          <w:szCs w:val="21"/>
          <w:shd w:val="clear" w:fill="FFFFFF"/>
          <w:lang w:val="en-US" w:eastAsia="zh-CN"/>
        </w:rPr>
        <w:t>2) 测试数据时间： 2014-01-30 到 2021-02-26</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i w:val="0"/>
          <w:caps w:val="0"/>
          <w:color w:val="auto"/>
          <w:spacing w:val="0"/>
          <w:sz w:val="21"/>
          <w:szCs w:val="21"/>
          <w:shd w:val="clear" w:fill="FFFFFF"/>
          <w:lang w:val="en-US" w:eastAsia="zh-CN"/>
        </w:rPr>
      </w:pPr>
      <w:r>
        <w:rPr>
          <w:rFonts w:hint="eastAsia" w:ascii="宋体" w:hAnsi="宋体" w:eastAsia="宋体" w:cs="宋体"/>
          <w:i w:val="0"/>
          <w:caps w:val="0"/>
          <w:color w:val="auto"/>
          <w:spacing w:val="0"/>
          <w:sz w:val="21"/>
          <w:szCs w:val="21"/>
          <w:shd w:val="clear" w:fill="FFFFFF"/>
          <w:lang w:val="en-US" w:eastAsia="zh-CN"/>
        </w:rPr>
        <w:t xml:space="preserve">    3) 测试数据清洗： 过滤掉当日停牌的股票</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840" w:firstLineChars="400"/>
        <w:textAlignment w:val="auto"/>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1.3.2 研究对象</w:t>
      </w:r>
    </w:p>
    <w:p>
      <w:pPr>
        <w:keepNext w:val="0"/>
        <w:keepLines w:val="0"/>
        <w:pageBreakBefore w:val="0"/>
        <w:widowControl w:val="0"/>
        <w:kinsoku/>
        <w:wordWrap/>
        <w:overflowPunct/>
        <w:topLinePunct w:val="0"/>
        <w:autoSpaceDE/>
        <w:autoSpaceDN/>
        <w:bidi w:val="0"/>
        <w:adjustRightInd/>
        <w:snapToGrid/>
        <w:spacing w:line="10" w:lineRule="atLeast"/>
        <w:ind w:left="840" w:leftChars="0" w:firstLine="0" w:firstLineChars="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1）</w:t>
      </w:r>
      <w:r>
        <w:rPr>
          <w:rFonts w:hint="eastAsia" w:ascii="宋体" w:hAnsi="宋体" w:eastAsia="宋体" w:cs="宋体"/>
          <w:sz w:val="21"/>
          <w:szCs w:val="21"/>
        </w:rPr>
        <w:t>市场风险</w:t>
      </w:r>
    </w:p>
    <w:p>
      <w:pPr>
        <w:keepNext w:val="0"/>
        <w:keepLines w:val="0"/>
        <w:pageBreakBefore w:val="0"/>
        <w:widowControl w:val="0"/>
        <w:kinsoku/>
        <w:wordWrap/>
        <w:overflowPunct/>
        <w:topLinePunct w:val="0"/>
        <w:autoSpaceDE/>
        <w:autoSpaceDN/>
        <w:bidi w:val="0"/>
        <w:adjustRightInd/>
        <w:snapToGrid/>
        <w:spacing w:line="10" w:lineRule="atLeast"/>
        <w:ind w:left="840" w:leftChars="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市场风险是指大盘走势变化所引起的不确定性。简单来说，就是大盘波动导致个股也跟着波动的风险。比如表现比较好的公司，其股票价格却伴随着大盘下降了，或者表现不怎么好的公司，股价却跟着牛市上涨了。市场风险是股票持有者所面临的所有风险中最难对付的一种，它给持股人带来的后果有时是灾难性的（比如2015年中让股民们心有余悸的“千股跌停”，表现再好的股票也难逃魔掌）。根据风险收益对等的原则，对于市场风险，应该有对个收益的超额补偿，这部分补偿计算方式为大盘指数相对于无风险投资的超额收益：RM=rM−rf</w:t>
      </w:r>
    </w:p>
    <w:p>
      <w:pPr>
        <w:keepNext w:val="0"/>
        <w:keepLines w:val="0"/>
        <w:pageBreakBefore w:val="0"/>
        <w:widowControl w:val="0"/>
        <w:kinsoku/>
        <w:wordWrap/>
        <w:overflowPunct/>
        <w:topLinePunct w:val="0"/>
        <w:autoSpaceDE/>
        <w:autoSpaceDN/>
        <w:bidi w:val="0"/>
        <w:adjustRightInd/>
        <w:snapToGrid/>
        <w:spacing w:line="10" w:lineRule="atLeast"/>
        <w:ind w:left="840" w:leftChars="0" w:firstLine="0" w:firstLineChars="0"/>
        <w:textAlignment w:val="auto"/>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10" w:lineRule="atLeast"/>
        <w:ind w:left="840" w:leftChars="0" w:firstLine="0" w:firstLineChars="0"/>
        <w:textAlignment w:val="auto"/>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10" w:lineRule="atLeast"/>
        <w:ind w:left="840" w:leftChars="0" w:firstLine="0" w:firstLineChars="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2）</w:t>
      </w:r>
      <w:r>
        <w:rPr>
          <w:rFonts w:hint="eastAsia" w:ascii="宋体" w:hAnsi="宋体" w:eastAsia="宋体" w:cs="宋体"/>
          <w:sz w:val="21"/>
          <w:szCs w:val="21"/>
        </w:rPr>
        <w:t>市值风险</w:t>
      </w:r>
    </w:p>
    <w:p>
      <w:pPr>
        <w:keepNext w:val="0"/>
        <w:keepLines w:val="0"/>
        <w:pageBreakBefore w:val="0"/>
        <w:widowControl w:val="0"/>
        <w:kinsoku/>
        <w:wordWrap/>
        <w:overflowPunct/>
        <w:topLinePunct w:val="0"/>
        <w:autoSpaceDE/>
        <w:autoSpaceDN/>
        <w:bidi w:val="0"/>
        <w:adjustRightInd/>
        <w:snapToGrid/>
        <w:spacing w:line="10" w:lineRule="atLeast"/>
        <w:ind w:left="840" w:leftChars="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市值风险是指公司的规模对该公司股票的风险有着接影响：资产规模小，风险就会相对增加，反之，资产规模大，风险就会相对减少。企业的资产规模与风险的这种关系已经被广泛投资者所接受（例如聚宽平台上的小市值系列策略）。国际上亦有许多知名研究机构和研究人员发表过有关文章，阐述了资产规模与投资回报率之间的负相关关系。例如普华永道研究得出来的R=17.074-2.7lgA，其中R是股票收益率，A是公司总资产账面值（旨在描述公司规模）。在五因子模型中，对市值风险的超额回报仍然用E(SMB))描述。E(SMB)的计算方式是：首先把市场里面的所有股票按市值排序，然后等分成三份：第一份是大市值股票（市值在所有股票中最大的1/3），第二份是中市值股票，第三份是小市值股票（市值在所有股票中最小的1/3）。记小市值股票的平均期望收益率为E(rS)，大市值股票的期望收益率为E(rB)。那么E(SMB)=E(rS)−E(rB)。</w:t>
      </w:r>
    </w:p>
    <w:p>
      <w:pPr>
        <w:keepNext w:val="0"/>
        <w:keepLines w:val="0"/>
        <w:pageBreakBefore w:val="0"/>
        <w:widowControl w:val="0"/>
        <w:kinsoku/>
        <w:wordWrap/>
        <w:overflowPunct/>
        <w:topLinePunct w:val="0"/>
        <w:autoSpaceDE/>
        <w:autoSpaceDN/>
        <w:bidi w:val="0"/>
        <w:adjustRightInd/>
        <w:snapToGrid/>
        <w:spacing w:line="10" w:lineRule="atLeast"/>
        <w:ind w:left="840" w:leftChars="0" w:firstLine="0" w:firstLineChars="0"/>
        <w:textAlignment w:val="auto"/>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10" w:lineRule="atLeast"/>
        <w:ind w:left="840" w:leftChars="0" w:firstLine="0" w:firstLineChars="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3）</w:t>
      </w:r>
      <w:r>
        <w:rPr>
          <w:rFonts w:hint="eastAsia" w:ascii="宋体" w:hAnsi="宋体" w:eastAsia="宋体" w:cs="宋体"/>
          <w:sz w:val="21"/>
          <w:szCs w:val="21"/>
        </w:rPr>
        <w:t>账面市值比风险</w:t>
      </w:r>
    </w:p>
    <w:p>
      <w:pPr>
        <w:keepNext w:val="0"/>
        <w:keepLines w:val="0"/>
        <w:pageBreakBefore w:val="0"/>
        <w:widowControl w:val="0"/>
        <w:kinsoku/>
        <w:wordWrap/>
        <w:overflowPunct/>
        <w:topLinePunct w:val="0"/>
        <w:autoSpaceDE/>
        <w:autoSpaceDN/>
        <w:bidi w:val="0"/>
        <w:adjustRightInd/>
        <w:snapToGrid/>
        <w:spacing w:line="10" w:lineRule="atLeast"/>
        <w:ind w:left="840" w:leftChars="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账面市值比就是账面的所有者权益除以市值（下简称B/M）。账面市值比风险描述了公司的额外财务困境风险，说明市场上对公司的估值比公司自己的估值要低。这些公司一般都是销售状况或者盈利能力不是十分好的公司，因此相对于低B/M的公司来说需要更高的收益来补偿。在五因子模型中，对市值风险的超额回报仍然用E(HMI)描述。E(HMI)的计算方式是：首先把市场里面的所有股票按B/M排序，然后等分成三份：第一份是高B/M股票（B/M在所有股票中最大的1/3），第二份是低B/M股票，第三份是低B/M股票（市值在所有股票中最小的1/3）。记高B/M股票的平均期望收益率为E(rH)，低B/M股票的平均期望收益率为E(rL)。那么E(HML)=E(rH)−E(rL)</w:t>
      </w:r>
    </w:p>
    <w:p>
      <w:pPr>
        <w:keepNext w:val="0"/>
        <w:keepLines w:val="0"/>
        <w:pageBreakBefore w:val="0"/>
        <w:widowControl w:val="0"/>
        <w:kinsoku/>
        <w:wordWrap/>
        <w:overflowPunct/>
        <w:topLinePunct w:val="0"/>
        <w:autoSpaceDE/>
        <w:autoSpaceDN/>
        <w:bidi w:val="0"/>
        <w:adjustRightInd/>
        <w:snapToGrid/>
        <w:spacing w:line="10" w:lineRule="atLeast"/>
        <w:ind w:left="840" w:leftChars="0" w:firstLine="0" w:firstLineChars="0"/>
        <w:textAlignment w:val="auto"/>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10" w:lineRule="atLeast"/>
        <w:ind w:left="840" w:leftChars="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4</w:t>
      </w:r>
      <w:r>
        <w:rPr>
          <w:rFonts w:hint="eastAsia" w:ascii="宋体" w:hAnsi="宋体" w:eastAsia="宋体" w:cs="宋体"/>
          <w:sz w:val="21"/>
          <w:szCs w:val="21"/>
          <w:lang w:eastAsia="zh-CN"/>
        </w:rPr>
        <w:t>）</w:t>
      </w:r>
      <w:r>
        <w:rPr>
          <w:rFonts w:hint="eastAsia" w:ascii="宋体" w:hAnsi="宋体" w:eastAsia="宋体" w:cs="宋体"/>
          <w:sz w:val="21"/>
          <w:szCs w:val="21"/>
        </w:rPr>
        <w:t>盈利水平风险</w:t>
      </w:r>
    </w:p>
    <w:p>
      <w:pPr>
        <w:keepNext w:val="0"/>
        <w:keepLines w:val="0"/>
        <w:pageBreakBefore w:val="0"/>
        <w:widowControl w:val="0"/>
        <w:kinsoku/>
        <w:wordWrap/>
        <w:overflowPunct/>
        <w:topLinePunct w:val="0"/>
        <w:autoSpaceDE/>
        <w:autoSpaceDN/>
        <w:bidi w:val="0"/>
        <w:adjustRightInd/>
        <w:snapToGrid/>
        <w:spacing w:line="10" w:lineRule="atLeast"/>
        <w:ind w:left="840" w:leftChars="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盈利水平风险是指，盈利能力较高的行业一般会伴随着更高的风险。我们用ROE来衡量盈利水平。记做 E(RMW)，其计算方法和E(SMB)、E(HML)类似（也是将股票分成三份，然后计算高/低盈利水平的股票期望收益率之差）。</w:t>
      </w:r>
    </w:p>
    <w:p>
      <w:pPr>
        <w:keepNext w:val="0"/>
        <w:keepLines w:val="0"/>
        <w:pageBreakBefore w:val="0"/>
        <w:widowControl w:val="0"/>
        <w:kinsoku/>
        <w:wordWrap/>
        <w:overflowPunct/>
        <w:topLinePunct w:val="0"/>
        <w:autoSpaceDE/>
        <w:autoSpaceDN/>
        <w:bidi w:val="0"/>
        <w:adjustRightInd/>
        <w:snapToGrid/>
        <w:spacing w:line="10" w:lineRule="atLeast"/>
        <w:ind w:left="840" w:leftChars="0" w:firstLine="0" w:firstLineChars="0"/>
        <w:textAlignment w:val="auto"/>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10" w:lineRule="atLeast"/>
        <w:ind w:left="840" w:leftChars="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5</w:t>
      </w:r>
      <w:r>
        <w:rPr>
          <w:rFonts w:hint="eastAsia" w:ascii="宋体" w:hAnsi="宋体" w:eastAsia="宋体" w:cs="宋体"/>
          <w:sz w:val="21"/>
          <w:szCs w:val="21"/>
          <w:lang w:eastAsia="zh-CN"/>
        </w:rPr>
        <w:t>）</w:t>
      </w:r>
      <w:r>
        <w:rPr>
          <w:rFonts w:hint="eastAsia" w:ascii="宋体" w:hAnsi="宋体" w:eastAsia="宋体" w:cs="宋体"/>
          <w:sz w:val="21"/>
          <w:szCs w:val="21"/>
        </w:rPr>
        <w:t>投资水平风险</w:t>
      </w:r>
    </w:p>
    <w:p>
      <w:pPr>
        <w:keepNext w:val="0"/>
        <w:keepLines w:val="0"/>
        <w:pageBreakBefore w:val="0"/>
        <w:widowControl w:val="0"/>
        <w:kinsoku/>
        <w:wordWrap/>
        <w:overflowPunct/>
        <w:topLinePunct w:val="0"/>
        <w:autoSpaceDE/>
        <w:autoSpaceDN/>
        <w:bidi w:val="0"/>
        <w:adjustRightInd/>
        <w:snapToGrid/>
        <w:spacing w:line="10" w:lineRule="atLeast"/>
        <w:ind w:left="840" w:leftChars="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投资水平可以用再投资率来衡量，我们认为投资率偏低的公司风险较大，投资者对这些公司有更高的收益率要求，反之亦然。Fama和French在他们五因子模型的文章里面提供了一种计算再投资比例的方法：用总资产年增长率来计算再投资比率。投资水平风险带来的超额收益E(CMA)计算方法和E(SMB)、E(HML)、E(RMW)类似（也就是将股票分成三份，然后计算低/高再投资比例公司股票期望收益率之差）。</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10" w:lineRule="atLeast"/>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1.4 策略止损</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i w:val="0"/>
          <w:caps w:val="0"/>
          <w:color w:val="333333"/>
          <w:spacing w:val="0"/>
          <w:sz w:val="21"/>
          <w:szCs w:val="21"/>
          <w:shd w:val="clear" w:fill="FFFFFF"/>
          <w:lang w:val="en-US" w:eastAsia="zh-CN"/>
        </w:rPr>
        <w:t>10天调一次仓，不做固定和移动止盈止损</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i w:val="0"/>
          <w:caps w:val="0"/>
          <w:color w:val="333333"/>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10" w:lineRule="atLeast"/>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1.5 策略回测</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1.5.1 因子分组测试</w:t>
      </w:r>
    </w:p>
    <w:p>
      <w:pPr>
        <w:keepNext w:val="0"/>
        <w:keepLines w:val="0"/>
        <w:pageBreakBefore w:val="0"/>
        <w:widowControl w:val="0"/>
        <w:numPr>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i w:val="0"/>
          <w:caps w:val="0"/>
          <w:color w:val="auto"/>
          <w:spacing w:val="0"/>
          <w:sz w:val="21"/>
          <w:szCs w:val="21"/>
          <w:shd w:val="clear" w:fill="FFFFFF"/>
          <w:lang w:val="en-US" w:eastAsia="zh-CN"/>
        </w:rPr>
      </w:pPr>
      <w:r>
        <w:rPr>
          <w:rFonts w:hint="eastAsia" w:ascii="宋体" w:hAnsi="宋体" w:eastAsia="宋体" w:cs="宋体"/>
          <w:sz w:val="21"/>
          <w:szCs w:val="21"/>
          <w:lang w:val="en-US" w:eastAsia="zh-CN"/>
        </w:rPr>
        <w:t xml:space="preserve">1) </w:t>
      </w:r>
      <w:r>
        <w:rPr>
          <w:rFonts w:hint="eastAsia" w:ascii="宋体" w:hAnsi="宋体" w:eastAsia="宋体" w:cs="宋体"/>
          <w:i w:val="0"/>
          <w:caps w:val="0"/>
          <w:color w:val="auto"/>
          <w:spacing w:val="0"/>
          <w:sz w:val="21"/>
          <w:szCs w:val="21"/>
          <w:shd w:val="clear" w:fill="FFFFFF"/>
          <w:lang w:val="en-US" w:eastAsia="zh-CN"/>
        </w:rPr>
        <w:t>第1组的收益率先开始高于第10组的收益率，后面逐渐持平</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drawing>
          <wp:inline distT="0" distB="0" distL="114300" distR="114300">
            <wp:extent cx="5363845" cy="2592070"/>
            <wp:effectExtent l="0" t="0" r="8255" b="17780"/>
            <wp:docPr id="4" name="图片 4"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下载"/>
                    <pic:cNvPicPr>
                      <a:picLocks noChangeAspect="1"/>
                    </pic:cNvPicPr>
                  </pic:nvPicPr>
                  <pic:blipFill>
                    <a:blip r:embed="rId6"/>
                    <a:stretch>
                      <a:fillRect/>
                    </a:stretch>
                  </pic:blipFill>
                  <pic:spPr>
                    <a:xfrm>
                      <a:off x="0" y="0"/>
                      <a:ext cx="5363845" cy="25920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i w:val="0"/>
          <w:caps w:val="0"/>
          <w:color w:val="auto"/>
          <w:spacing w:val="0"/>
          <w:sz w:val="21"/>
          <w:szCs w:val="21"/>
          <w:shd w:val="clear" w:fill="FFFFFF"/>
          <w:lang w:val="en-US" w:eastAsia="zh-CN"/>
        </w:rPr>
      </w:pPr>
      <w:r>
        <w:rPr>
          <w:rFonts w:hint="eastAsia" w:ascii="宋体" w:hAnsi="宋体" w:eastAsia="宋体" w:cs="宋体"/>
          <w:i w:val="0"/>
          <w:caps w:val="0"/>
          <w:color w:val="auto"/>
          <w:spacing w:val="0"/>
          <w:sz w:val="21"/>
          <w:szCs w:val="21"/>
          <w:shd w:val="clear" w:fill="FFFFFF"/>
          <w:lang w:val="en-US" w:eastAsia="zh-CN"/>
        </w:rPr>
        <w:t>第1组的的年化收益率和回撤率都稍好于第10组</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drawing>
          <wp:inline distT="0" distB="0" distL="114300" distR="114300">
            <wp:extent cx="5026025" cy="2336800"/>
            <wp:effectExtent l="0" t="0" r="3175" b="6350"/>
            <wp:docPr id="7" name="图片 7" descr="下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下载 (1)"/>
                    <pic:cNvPicPr>
                      <a:picLocks noChangeAspect="1"/>
                    </pic:cNvPicPr>
                  </pic:nvPicPr>
                  <pic:blipFill>
                    <a:blip r:embed="rId7"/>
                    <a:stretch>
                      <a:fillRect/>
                    </a:stretch>
                  </pic:blipFill>
                  <pic:spPr>
                    <a:xfrm>
                      <a:off x="0" y="0"/>
                      <a:ext cx="5026025" cy="23368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10" w:lineRule="atLeast"/>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i w:val="0"/>
          <w:caps w:val="0"/>
          <w:color w:val="auto"/>
          <w:spacing w:val="0"/>
          <w:sz w:val="21"/>
          <w:szCs w:val="21"/>
          <w:shd w:val="clear" w:fill="FFFFFF"/>
          <w:lang w:val="en-US" w:eastAsia="zh-CN"/>
        </w:rPr>
        <w:t>3)第1组的夏普比率也要好于第10组，但是波动性上第1组和10组相近</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CN"/>
        </w:rPr>
        <w:drawing>
          <wp:inline distT="0" distB="0" distL="114300" distR="114300">
            <wp:extent cx="5048885" cy="2580005"/>
            <wp:effectExtent l="0" t="0" r="18415" b="10795"/>
            <wp:docPr id="6" name="图片 6" descr="下载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下载 (2)"/>
                    <pic:cNvPicPr>
                      <a:picLocks noChangeAspect="1"/>
                    </pic:cNvPicPr>
                  </pic:nvPicPr>
                  <pic:blipFill>
                    <a:blip r:embed="rId8"/>
                    <a:stretch>
                      <a:fillRect/>
                    </a:stretch>
                  </pic:blipFill>
                  <pic:spPr>
                    <a:xfrm>
                      <a:off x="0" y="0"/>
                      <a:ext cx="5048885" cy="258000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1.5.2 策略结果</w:t>
      </w:r>
    </w:p>
    <w:p>
      <w:pPr>
        <w:keepNext w:val="0"/>
        <w:keepLines w:val="0"/>
        <w:pageBreakBefore w:val="0"/>
        <w:widowControl w:val="0"/>
        <w:tabs>
          <w:tab w:val="left" w:pos="1729"/>
        </w:tabs>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eastAsia="zh-CN"/>
        </w:rPr>
      </w:pPr>
      <w:r>
        <w:rPr>
          <w:rFonts w:hint="eastAsia" w:ascii="宋体" w:hAnsi="宋体" w:eastAsia="宋体" w:cs="宋体"/>
          <w:sz w:val="21"/>
          <w:szCs w:val="21"/>
        </w:rPr>
        <w:drawing>
          <wp:inline distT="0" distB="0" distL="114300" distR="114300">
            <wp:extent cx="5650865" cy="2367915"/>
            <wp:effectExtent l="0" t="0" r="6985" b="133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5650865" cy="2367915"/>
                    </a:xfrm>
                    <a:prstGeom prst="rect">
                      <a:avLst/>
                    </a:prstGeom>
                    <a:noFill/>
                    <a:ln>
                      <a:noFill/>
                    </a:ln>
                  </pic:spPr>
                </pic:pic>
              </a:graphicData>
            </a:graphic>
          </wp:inline>
        </w:drawing>
      </w:r>
      <w:r>
        <w:rPr>
          <w:rFonts w:hint="eastAsia" w:ascii="宋体" w:hAnsi="宋体" w:eastAsia="宋体" w:cs="宋体"/>
          <w:sz w:val="21"/>
          <w:szCs w:val="21"/>
          <w:lang w:eastAsia="zh-CN"/>
        </w:rPr>
        <w:tab/>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r>
        <w:rPr>
          <w:rFonts w:hint="eastAsia" w:ascii="宋体" w:hAnsi="宋体" w:eastAsia="宋体" w:cs="宋体"/>
          <w:i w:val="0"/>
          <w:caps w:val="0"/>
          <w:color w:val="auto"/>
          <w:spacing w:val="0"/>
          <w:sz w:val="21"/>
          <w:szCs w:val="21"/>
          <w:shd w:val="clear" w:fill="FFFFFF"/>
          <w:lang w:val="en-US" w:eastAsia="zh-CN"/>
        </w:rPr>
        <w:t>2014-01-30 到 2021-02-26</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策略收益：</w:t>
      </w:r>
      <w:r>
        <w:rPr>
          <w:rFonts w:hint="eastAsia" w:ascii="宋体" w:hAnsi="宋体" w:eastAsia="宋体" w:cs="宋体"/>
          <w:sz w:val="21"/>
          <w:szCs w:val="21"/>
          <w:lang w:val="en-US" w:eastAsia="zh-CN"/>
        </w:rPr>
        <w:t>34.5</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策略年化收益：</w:t>
      </w:r>
      <w:r>
        <w:rPr>
          <w:rFonts w:hint="eastAsia" w:ascii="宋体" w:hAnsi="宋体" w:eastAsia="宋体" w:cs="宋体"/>
          <w:sz w:val="21"/>
          <w:szCs w:val="21"/>
          <w:lang w:val="en-US" w:eastAsia="zh-CN"/>
        </w:rPr>
        <w:t>4</w:t>
      </w: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策略年化波动</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29</w:t>
      </w:r>
      <w:r>
        <w:rPr>
          <w:rFonts w:hint="eastAsia" w:ascii="宋体" w:hAnsi="宋体" w:eastAsia="宋体" w:cs="宋体"/>
          <w:sz w:val="21"/>
          <w:szCs w:val="21"/>
        </w:rPr>
        <w:t>.</w:t>
      </w:r>
      <w:r>
        <w:rPr>
          <w:rFonts w:hint="eastAsia" w:ascii="宋体" w:hAnsi="宋体" w:eastAsia="宋体" w:cs="宋体"/>
          <w:sz w:val="21"/>
          <w:szCs w:val="21"/>
          <w:lang w:val="en-US" w:eastAsia="zh-CN"/>
        </w:rPr>
        <w:t>9</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基准收益：</w:t>
      </w:r>
      <w:r>
        <w:rPr>
          <w:rFonts w:hint="eastAsia" w:ascii="宋体" w:hAnsi="宋体" w:eastAsia="宋体" w:cs="宋体"/>
          <w:sz w:val="21"/>
          <w:szCs w:val="21"/>
          <w:lang w:val="en-US" w:eastAsia="zh-CN"/>
        </w:rPr>
        <w:t>1</w:t>
      </w:r>
      <w:r>
        <w:rPr>
          <w:rFonts w:hint="eastAsia" w:ascii="宋体" w:hAnsi="宋体" w:eastAsia="宋体" w:cs="宋体"/>
          <w:sz w:val="21"/>
          <w:szCs w:val="21"/>
        </w:rPr>
        <w:t>39.</w:t>
      </w:r>
      <w:r>
        <w:rPr>
          <w:rFonts w:hint="eastAsia" w:ascii="宋体" w:hAnsi="宋体" w:eastAsia="宋体" w:cs="宋体"/>
          <w:sz w:val="21"/>
          <w:szCs w:val="21"/>
          <w:lang w:val="en-US" w:eastAsia="zh-CN"/>
        </w:rPr>
        <w:t>5</w:t>
      </w:r>
      <w:r>
        <w:rPr>
          <w:rFonts w:hint="eastAsia" w:ascii="宋体" w:hAnsi="宋体" w:eastAsia="宋体" w:cs="宋体"/>
          <w:sz w:val="21"/>
          <w:szCs w:val="21"/>
        </w:rPr>
        <w:t>6%</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阿尔法：</w:t>
      </w:r>
      <w:r>
        <w:rPr>
          <w:rFonts w:hint="eastAsia" w:ascii="宋体" w:hAnsi="宋体" w:eastAsia="宋体" w:cs="宋体"/>
          <w:sz w:val="21"/>
          <w:szCs w:val="21"/>
          <w:lang w:val="en-US" w:eastAsia="zh-CN"/>
        </w:rPr>
        <w:t>-0.096</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贝塔：1.0</w:t>
      </w:r>
      <w:r>
        <w:rPr>
          <w:rFonts w:hint="eastAsia" w:ascii="宋体" w:hAnsi="宋体" w:eastAsia="宋体" w:cs="宋体"/>
          <w:sz w:val="21"/>
          <w:szCs w:val="21"/>
          <w:lang w:val="en-US" w:eastAsia="zh-CN"/>
        </w:rPr>
        <w:t>5</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夏普比率</w:t>
      </w:r>
      <w:r>
        <w:rPr>
          <w:rFonts w:hint="eastAsia" w:ascii="宋体" w:hAnsi="宋体" w:eastAsia="宋体" w:cs="宋体"/>
          <w:sz w:val="21"/>
          <w:szCs w:val="21"/>
          <w:lang w:eastAsia="zh-CN"/>
        </w:rPr>
        <w:t>：</w:t>
      </w:r>
      <w:r>
        <w:rPr>
          <w:rFonts w:hint="eastAsia" w:ascii="宋体" w:hAnsi="宋体" w:eastAsia="宋体" w:cs="宋体"/>
          <w:sz w:val="21"/>
          <w:szCs w:val="21"/>
        </w:rPr>
        <w:t>0.</w:t>
      </w:r>
      <w:r>
        <w:rPr>
          <w:rFonts w:hint="eastAsia" w:ascii="宋体" w:hAnsi="宋体" w:eastAsia="宋体" w:cs="宋体"/>
          <w:sz w:val="21"/>
          <w:szCs w:val="21"/>
          <w:lang w:val="en-US" w:eastAsia="zh-CN"/>
        </w:rPr>
        <w:t>013</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最大回撤：</w:t>
      </w:r>
      <w:r>
        <w:rPr>
          <w:rFonts w:hint="eastAsia" w:ascii="宋体" w:hAnsi="宋体" w:eastAsia="宋体" w:cs="宋体"/>
          <w:sz w:val="21"/>
          <w:szCs w:val="21"/>
          <w:lang w:val="en-US" w:eastAsia="zh-CN"/>
        </w:rPr>
        <w:t>67</w:t>
      </w: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5595620" cy="2508250"/>
            <wp:effectExtent l="0" t="0" r="5080" b="635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5595620" cy="25082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2006-01-01 到 2016-06-28</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 xml:space="preserve">策略收益： </w:t>
      </w:r>
      <w:r>
        <w:rPr>
          <w:rFonts w:hint="eastAsia" w:ascii="宋体" w:hAnsi="宋体" w:eastAsia="宋体" w:cs="宋体"/>
          <w:sz w:val="21"/>
          <w:szCs w:val="21"/>
          <w:lang w:val="en-US" w:eastAsia="zh-CN"/>
        </w:rPr>
        <w:t>625.85</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策略年化收益：</w:t>
      </w:r>
      <w:r>
        <w:rPr>
          <w:rFonts w:hint="eastAsia" w:ascii="宋体" w:hAnsi="宋体" w:eastAsia="宋体" w:cs="宋体"/>
          <w:sz w:val="21"/>
          <w:szCs w:val="21"/>
          <w:lang w:val="en-US" w:eastAsia="zh-CN"/>
        </w:rPr>
        <w:t>21</w:t>
      </w:r>
      <w:r>
        <w:rPr>
          <w:rFonts w:hint="eastAsia" w:ascii="宋体" w:hAnsi="宋体" w:eastAsia="宋体" w:cs="宋体"/>
          <w:sz w:val="21"/>
          <w:szCs w:val="21"/>
        </w:rPr>
        <w:t>.</w:t>
      </w:r>
      <w:r>
        <w:rPr>
          <w:rFonts w:hint="eastAsia" w:ascii="宋体" w:hAnsi="宋体" w:eastAsia="宋体" w:cs="宋体"/>
          <w:sz w:val="21"/>
          <w:szCs w:val="21"/>
          <w:lang w:val="en-US" w:eastAsia="zh-CN"/>
        </w:rPr>
        <w:t>.48</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策略年化波动</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36</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基准收益：</w:t>
      </w:r>
      <w:r>
        <w:rPr>
          <w:rFonts w:hint="eastAsia" w:ascii="宋体" w:hAnsi="宋体" w:eastAsia="宋体" w:cs="宋体"/>
          <w:sz w:val="21"/>
          <w:szCs w:val="21"/>
          <w:lang w:val="en-US" w:eastAsia="zh-CN"/>
        </w:rPr>
        <w:t>2</w:t>
      </w:r>
      <w:r>
        <w:rPr>
          <w:rFonts w:hint="eastAsia" w:ascii="宋体" w:hAnsi="宋体" w:eastAsia="宋体" w:cs="宋体"/>
          <w:sz w:val="21"/>
          <w:szCs w:val="21"/>
        </w:rPr>
        <w:t>39.6</w:t>
      </w:r>
      <w:r>
        <w:rPr>
          <w:rFonts w:hint="eastAsia" w:ascii="宋体" w:hAnsi="宋体" w:eastAsia="宋体" w:cs="宋体"/>
          <w:sz w:val="21"/>
          <w:szCs w:val="21"/>
          <w:lang w:val="en-US" w:eastAsia="zh-CN"/>
        </w:rPr>
        <w:t>4</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阿尔法：</w:t>
      </w:r>
      <w:r>
        <w:rPr>
          <w:rFonts w:hint="eastAsia" w:ascii="宋体" w:hAnsi="宋体" w:eastAsia="宋体" w:cs="宋体"/>
          <w:sz w:val="21"/>
          <w:szCs w:val="21"/>
          <w:lang w:val="en-US" w:eastAsia="zh-CN"/>
        </w:rPr>
        <w:t>0.083</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贝塔：1.0</w:t>
      </w:r>
      <w:r>
        <w:rPr>
          <w:rFonts w:hint="eastAsia" w:ascii="宋体" w:hAnsi="宋体" w:eastAsia="宋体" w:cs="宋体"/>
          <w:sz w:val="21"/>
          <w:szCs w:val="21"/>
          <w:lang w:val="en-US" w:eastAsia="zh-CN"/>
        </w:rPr>
        <w:t>5</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夏普比率</w:t>
      </w:r>
      <w:r>
        <w:rPr>
          <w:rFonts w:hint="eastAsia" w:ascii="宋体" w:hAnsi="宋体" w:eastAsia="宋体" w:cs="宋体"/>
          <w:sz w:val="21"/>
          <w:szCs w:val="21"/>
          <w:lang w:eastAsia="zh-CN"/>
        </w:rPr>
        <w:t>：</w:t>
      </w:r>
      <w:r>
        <w:rPr>
          <w:rFonts w:hint="eastAsia" w:ascii="宋体" w:hAnsi="宋体" w:eastAsia="宋体" w:cs="宋体"/>
          <w:sz w:val="21"/>
          <w:szCs w:val="21"/>
        </w:rPr>
        <w:t>0.</w:t>
      </w:r>
      <w:r>
        <w:rPr>
          <w:rFonts w:hint="eastAsia" w:ascii="宋体" w:hAnsi="宋体" w:eastAsia="宋体" w:cs="宋体"/>
          <w:sz w:val="21"/>
          <w:szCs w:val="21"/>
          <w:lang w:val="en-US" w:eastAsia="zh-CN"/>
        </w:rPr>
        <w:t>486</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最大回撤：</w:t>
      </w:r>
      <w:r>
        <w:rPr>
          <w:rFonts w:hint="eastAsia" w:ascii="宋体" w:hAnsi="宋体" w:eastAsia="宋体" w:cs="宋体"/>
          <w:sz w:val="21"/>
          <w:szCs w:val="21"/>
          <w:lang w:val="en-US" w:eastAsia="zh-CN"/>
        </w:rPr>
        <w:t>74</w:t>
      </w:r>
      <w:r>
        <w:rPr>
          <w:rFonts w:hint="eastAsia" w:ascii="宋体" w:hAnsi="宋体" w:eastAsia="宋体" w:cs="宋体"/>
          <w:sz w:val="21"/>
          <w:szCs w:val="21"/>
        </w:rPr>
        <w:t>.</w:t>
      </w:r>
      <w:r>
        <w:rPr>
          <w:rFonts w:hint="eastAsia" w:ascii="宋体" w:hAnsi="宋体" w:eastAsia="宋体" w:cs="宋体"/>
          <w:sz w:val="21"/>
          <w:szCs w:val="21"/>
          <w:lang w:val="en-US" w:eastAsia="zh-CN"/>
        </w:rPr>
        <w:t>06</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default" w:ascii="宋体" w:hAnsi="宋体" w:eastAsia="宋体" w:cs="宋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CAD53D"/>
    <w:multiLevelType w:val="singleLevel"/>
    <w:tmpl w:val="E9CAD53D"/>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8D1F5F"/>
    <w:rsid w:val="3D8771C0"/>
    <w:rsid w:val="3FBF13AD"/>
    <w:rsid w:val="43845042"/>
    <w:rsid w:val="5A80144D"/>
    <w:rsid w:val="621339FE"/>
    <w:rsid w:val="732910CE"/>
    <w:rsid w:val="797A6CE6"/>
    <w:rsid w:val="7FC406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cloud</dc:creator>
  <cp:lastModifiedBy>cloud</cp:lastModifiedBy>
  <dcterms:modified xsi:type="dcterms:W3CDTF">2021-03-02T08:24:17Z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