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0001 记录架构决策并保持编号连续</w:t>
      </w:r>
    </w:p>
    <w:p>
      <w:pPr>
        <w:jc w:val="center"/>
      </w:pPr>
      <w:r>
        <w:t>D2-7 Architecture Decision Record 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ADR 制度</w:t>
      </w:r>
    </w:p>
    <w:p>
      <w:pPr>
        <w:pStyle w:val="Heading1"/>
      </w:pPr>
      <w:r>
        <w:t>3 Context</w:t>
      </w:r>
    </w:p>
    <w:p>
      <w:r>
        <w:t>实验二之后项目会连续进入实验三和实验四，需要保留可回溯的架构决策链条，避免后续实现阶段重新解释为什么这样设计。</w:t>
      </w:r>
    </w:p>
    <w:p>
      <w:pPr>
        <w:pStyle w:val="Heading1"/>
      </w:pPr>
      <w:r>
        <w:t>4 Decision</w:t>
      </w:r>
    </w:p>
    <w:p>
      <w:r>
        <w:t>采用 MADR 风格记录 ADR，编号从 0001 开始递增，不重排历史编号，后续若被替代则使用 Superseded 标记。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正面：后续服务实现、测试和答辩都有统一决策依据。</w:t>
      </w:r>
    </w:p>
    <w:p>
      <w:pPr>
        <w:pStyle w:val="ListBullet"/>
      </w:pPr>
      <w:r>
        <w:t>负面：需要额外维护 ADR 文档与编号纪律。</w:t>
      </w:r>
    </w:p>
    <w:p>
      <w:pPr>
        <w:pStyle w:val="ListBullet"/>
      </w:pPr>
      <w:r>
        <w:t>中性：不同实验阶段仍可继续补充新 ADR，而不影响既有编号。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只在报告里写结论：不利于持续演进，也无法在 Git 中单独跟踪变更。</w:t>
      </w:r>
    </w:p>
    <w:p>
      <w:pPr>
        <w:pStyle w:val="ListBullet"/>
      </w:pPr>
      <w:r>
        <w:t>把所有决策挤进一份总说明：粒度过粗，后续难以替换单条决策。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