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0006 采用 JWT + RBAC + Tenant Header 的组合鉴权</w:t>
      </w:r>
    </w:p>
    <w:p>
      <w:pPr>
        <w:jc w:val="center"/>
      </w:pPr>
      <w:r>
        <w:t>D2-7 Architecture Decision Record 0006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鉴权方案</w:t>
      </w:r>
    </w:p>
    <w:p>
      <w:pPr>
        <w:pStyle w:val="Heading1"/>
      </w:pPr>
      <w:r>
        <w:t>3 Context</w:t>
      </w:r>
    </w:p>
    <w:p>
      <w:r>
        <w:t>会员敏感数据、跨店运营数据和多租户场景都要求有明确的身份、角色和租户边界。</w:t>
      </w:r>
    </w:p>
    <w:p>
      <w:pPr>
        <w:pStyle w:val="Heading1"/>
      </w:pPr>
      <w:r>
        <w:t>4 Decision</w:t>
      </w:r>
    </w:p>
    <w:p>
      <w:r>
        <w:t>API Gateway 验证 JWT，服务内部基于角色做 RBAC 校验，并通过 X-Tenant-Id 强制注入租户上下文。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正面：权限、租户和审计链条清晰，便于实验四继续做安全与审查。</w:t>
      </w:r>
    </w:p>
    <w:p>
      <w:pPr>
        <w:pStyle w:val="ListBullet"/>
      </w:pPr>
      <w:r>
        <w:t>负面：比最简单的会话鉴权需要更多网关和中间件配置。</w:t>
      </w:r>
    </w:p>
    <w:p>
      <w:pPr>
        <w:pStyle w:val="ListBullet"/>
      </w:pPr>
      <w:r>
        <w:t>中性：对顾客端和后台端的角色模型需要继续细化。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仅依赖后端会话：不利于多端接入和服务拆分。</w:t>
      </w:r>
    </w:p>
    <w:p>
      <w:pPr>
        <w:pStyle w:val="ListBullet"/>
      </w:pPr>
      <w:r>
        <w:t>只做身份认证不做角色控制：无法满足敏感运营权限要求。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