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0007 敏感字段最小化同步并为高合规租户预留 Schema 隔离</w:t>
      </w:r>
    </w:p>
    <w:p>
      <w:pPr>
        <w:jc w:val="center"/>
      </w:pPr>
      <w:r>
        <w:t>D2-7 Architecture Decision Record 0007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跨境数据同步策略</w:t>
      </w:r>
    </w:p>
    <w:p>
      <w:pPr>
        <w:pStyle w:val="Heading1"/>
      </w:pPr>
      <w:r>
        <w:t>3 Context</w:t>
      </w:r>
    </w:p>
    <w:p>
      <w:r>
        <w:t>CTO 关心会员跨境同步合规问题，而推荐与运营分析又需要一定范围的数据共享。</w:t>
      </w:r>
    </w:p>
    <w:p>
      <w:pPr>
        <w:pStyle w:val="Heading1"/>
      </w:pPr>
      <w:r>
        <w:t>4 Decision</w:t>
      </w:r>
    </w:p>
    <w:p>
      <w:r>
        <w:t>默认采用行级租户隔离；对带 [GDPR] 标记的敏感字段执行最小化、脱敏或授权后同步；为高合规租户预留 Schema 隔离升级路径。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正面：在不显著抬高当前实现成本的前提下保留合规扩展路径。</w:t>
      </w:r>
    </w:p>
    <w:p>
      <w:pPr>
        <w:pStyle w:val="ListBullet"/>
      </w:pPr>
      <w:r>
        <w:t>负面：跨境同步链路需要更严格的字段治理和审计。</w:t>
      </w:r>
    </w:p>
    <w:p>
      <w:pPr>
        <w:pStyle w:val="ListBullet"/>
      </w:pPr>
      <w:r>
        <w:t>中性：短期不会立即引入独立跨境数据平台，但会在路线图中预留。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完全不做跨境同步：不能回答任务书场景中的 CTO 追问。</w:t>
      </w:r>
    </w:p>
    <w:p>
      <w:pPr>
        <w:pStyle w:val="ListBullet"/>
      </w:pPr>
      <w:r>
        <w:t>立即做完全独立数据库隔离：当前教学场景成本过高。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