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候选架构对比与 ATAM 报告</w:t>
      </w:r>
    </w:p>
    <w:p>
      <w:pPr>
        <w:jc w:val="center"/>
      </w:pPr>
      <w:r>
        <w:t>D2-3 Architecture Alternatives &amp; ATAM</w:t>
      </w:r>
    </w:p>
    <w:tbl>
      <w:tblPr>
        <w:tblStyle w:val="TableGrid"/>
        <w:tblW w:type="auto" w:w="0"/>
        <w:tblLook w:firstColumn="1" w:firstRow="1" w:lastColumn="0" w:lastRow="0" w:noHBand="0" w:noVBand="1" w:val="04A0"/>
      </w:tblPr>
      <w:tblGrid>
        <w:gridCol w:w="4323"/>
        <w:gridCol w:w="4323"/>
      </w:tblGrid>
      <w:tr>
        <w:tc>
          <w:tcPr>
            <w:tcW w:type="dxa" w:w="4323"/>
            <w:vAlign w:val="center"/>
          </w:tcPr>
          <w:p>
            <w:r>
              <w:t>课程 / 实验</w:t>
            </w:r>
          </w:p>
        </w:tc>
        <w:tc>
          <w:tcPr>
            <w:tcW w:type="dxa" w:w="4323"/>
            <w:vAlign w:val="center"/>
          </w:tcPr>
          <w:p>
            <w:r>
              <w:t>软件工程 / 实验二 软件架构设计与微服务拆分实践</w:t>
            </w:r>
          </w:p>
        </w:tc>
      </w:tr>
      <w:tr>
        <w:tc>
          <w:tcPr>
            <w:tcW w:type="dxa" w:w="4323"/>
            <w:vAlign w:val="center"/>
          </w:tcPr>
          <w:p>
            <w:r>
              <w:t>产出编号</w:t>
            </w:r>
          </w:p>
        </w:tc>
        <w:tc>
          <w:tcPr>
            <w:tcW w:type="dxa" w:w="4323"/>
            <w:vAlign w:val="center"/>
          </w:tcPr>
          <w:p>
            <w:r>
              <w:t>D2-3</w:t>
            </w:r>
          </w:p>
        </w:tc>
      </w:tr>
      <w:tr>
        <w:tc>
          <w:tcPr>
            <w:tcW w:type="dxa" w:w="4323"/>
            <w:vAlign w:val="center"/>
          </w:tcPr>
          <w:p>
            <w:r>
              <w:t>班级 / 学号 / 姓名</w:t>
            </w:r>
          </w:p>
        </w:tc>
        <w:tc>
          <w:tcPr>
            <w:tcW w:type="dxa" w:w="4323"/>
            <w:vAlign w:val="center"/>
          </w:tcPr>
          <w:p>
            <w:r>
              <w:t>计算机23-2 / 231002208 / 戚晋瑜</w:t>
            </w:r>
          </w:p>
        </w:tc>
      </w:tr>
      <w:tr>
        <w:tc>
          <w:tcPr>
            <w:tcW w:type="dxa" w:w="4323"/>
            <w:vAlign w:val="center"/>
          </w:tcPr>
          <w:p>
            <w:r>
              <w:t>版本 / 日期</w:t>
            </w:r>
          </w:p>
        </w:tc>
        <w:tc>
          <w:tcPr>
            <w:tcW w:type="dxa" w:w="4323"/>
            <w:vAlign w:val="center"/>
          </w:tcPr>
          <w:p>
            <w:r>
              <w:t>v1.0 / 2026-05-07</w:t>
            </w:r>
          </w:p>
        </w:tc>
      </w:tr>
    </w:tbl>
    <w:p/>
    <w:p>
      <w:pPr>
        <w:pStyle w:val="Heading2"/>
      </w:pPr>
      <w:r>
        <w:t>学术诚信声明</w:t>
      </w:r>
    </w:p>
    <w:p>
      <w:r>
        <w:t>本人承诺所提交的实验材料系本人独立完成，对引用的他人成果均已明确标注。AI 生成内容均在附录中说明使用范围与提示词，并由本人完成复核与定稿。</w:t>
      </w:r>
    </w:p>
    <w:p>
      <w:pPr>
        <w:sectPr>
          <w:headerReference w:type="default" r:id="rId9"/>
          <w:footerReference w:type="default" r:id="rId10"/>
          <w:pgSz w:w="12240" w:h="15840"/>
          <w:pgMar w:top="1440" w:right="1797" w:bottom="1440" w:left="1797" w:header="720" w:footer="720" w:gutter="0"/>
          <w:cols w:space="720"/>
          <w:docGrid w:linePitch="360"/>
        </w:sectPr>
      </w:pPr>
    </w:p>
    <w:p>
      <w:pPr>
        <w:pStyle w:val="Heading1"/>
      </w:pPr>
      <w:r>
        <w:t>1 商业目标与评审背景</w:t>
      </w:r>
    </w:p>
    <w:p>
      <w:r>
        <w:t>实验二需要回答三类核心问题：高峰期 5000 QPS 怎么扛、新门店如何零停机接入、会员数据跨境同步如何合规。因此本报告基于实验一 QAS 与 DDD 边界，对两套候选架构进行 ATAM 风格对比。</w:t>
      </w:r>
    </w:p>
    <w:p>
      <w:pPr>
        <w:pStyle w:val="ListBullet"/>
      </w:pPr>
      <w:r>
        <w:t>保证预约核心链路在高峰期稳定可用</w:t>
      </w:r>
    </w:p>
    <w:p>
      <w:pPr>
        <w:pStyle w:val="ListBullet"/>
      </w:pPr>
      <w:r>
        <w:t>支撑新门店快速复制与标准化接入</w:t>
      </w:r>
    </w:p>
    <w:p>
      <w:pPr>
        <w:pStyle w:val="ListBullet"/>
      </w:pPr>
      <w:r>
        <w:t>满足会员敏感数据的合规与审计要求</w:t>
      </w:r>
    </w:p>
    <w:p>
      <w:pPr>
        <w:pStyle w:val="ListBullet"/>
      </w:pPr>
      <w:r>
        <w:t>为实验三和实验四保留可落地、可测试的核心服务边界</w:t>
      </w:r>
    </w:p>
    <w:p>
      <w:pPr>
        <w:pStyle w:val="Heading1"/>
      </w:pPr>
      <w:r>
        <w:t>2 候选方案 A：模块化单体</w:t>
      </w:r>
    </w:p>
    <w:p>
      <w:r>
        <w:t>以单体应用承载会员、预约、门店运营等核心模块，通过模块边界控制耦合。</w:t>
      </w:r>
    </w:p>
    <w:p>
      <w:pPr>
        <w:jc w:val="left"/>
      </w:pPr>
      <w:r>
        <w:rPr>
          <w:b/>
        </w:rPr>
        <w:t>表 2-1 方案 A 优势与代价</w:t>
      </w:r>
    </w:p>
    <w:tbl>
      <w:tblPr>
        <w:tblStyle w:val="TableGrid"/>
        <w:tblW w:type="auto" w:w="0"/>
        <w:tblLook w:firstColumn="1" w:firstRow="1" w:lastColumn="0" w:lastRow="0" w:noHBand="0" w:noVBand="1" w:val="04A0"/>
      </w:tblPr>
      <w:tblGrid>
        <w:gridCol w:w="4323"/>
        <w:gridCol w:w="4323"/>
      </w:tblGrid>
      <w:tr>
        <w:tc>
          <w:tcPr>
            <w:tcW w:type="dxa" w:w="4323"/>
          </w:tcPr>
          <w:p>
            <w:r>
              <w:t>优势</w:t>
            </w:r>
          </w:p>
        </w:tc>
        <w:tc>
          <w:tcPr>
            <w:tcW w:type="dxa" w:w="4323"/>
          </w:tcPr>
          <w:p>
            <w:r>
              <w:t>代价</w:t>
            </w:r>
          </w:p>
        </w:tc>
      </w:tr>
      <w:tr>
        <w:tc>
          <w:tcPr>
            <w:tcW w:type="dxa" w:w="4323"/>
          </w:tcPr>
          <w:p>
            <w:r>
              <w:t>本地开发和部署复杂度低，适合快速交付原型</w:t>
            </w:r>
          </w:p>
        </w:tc>
        <w:tc>
          <w:tcPr>
            <w:tcW w:type="dxa" w:w="4323"/>
          </w:tcPr>
          <w:p>
            <w:r>
              <w:t>高峰期热点链路难以独立扩容</w:t>
            </w:r>
          </w:p>
        </w:tc>
      </w:tr>
      <w:tr>
        <w:tc>
          <w:tcPr>
            <w:tcW w:type="dxa" w:w="4323"/>
          </w:tcPr>
          <w:p>
            <w:r>
              <w:t>跨模块事务一致性较容易保证</w:t>
            </w:r>
          </w:p>
        </w:tc>
        <w:tc>
          <w:tcPr>
            <w:tcW w:type="dxa" w:w="4323"/>
          </w:tcPr>
          <w:p>
            <w:r>
              <w:t>新增门店与跨团队协作时模块边界容易被突破</w:t>
            </w:r>
          </w:p>
        </w:tc>
      </w:tr>
      <w:tr>
        <w:tc>
          <w:tcPr>
            <w:tcW w:type="dxa" w:w="4323"/>
          </w:tcPr>
          <w:p>
            <w:r>
              <w:t>实验三初期实现成本更低</w:t>
            </w:r>
          </w:p>
        </w:tc>
        <w:tc>
          <w:tcPr>
            <w:tcW w:type="dxa" w:w="4323"/>
          </w:tcPr>
          <w:p>
            <w:r>
              <w:t>推荐、通知、运营分析等扩展模块会放大单体复杂度</w:t>
            </w:r>
          </w:p>
        </w:tc>
      </w:tr>
    </w:tbl>
    <w:p>
      <w:pPr>
        <w:pStyle w:val="Heading1"/>
      </w:pPr>
      <w:r>
        <w:t>3 候选方案 B：微服务 + 事件驱动</w:t>
      </w:r>
    </w:p>
    <w:p>
      <w:r>
        <w:t>按限界上下文拆分服务，通过 API 网关与异步事件解耦预约、门店运营、推荐和通知。</w:t>
      </w:r>
    </w:p>
    <w:p>
      <w:pPr>
        <w:jc w:val="left"/>
      </w:pPr>
      <w:r>
        <w:rPr>
          <w:b/>
        </w:rPr>
        <w:t>表 3-1 方案 B 优势与代价</w:t>
      </w:r>
    </w:p>
    <w:tbl>
      <w:tblPr>
        <w:tblStyle w:val="TableGrid"/>
        <w:tblW w:type="auto" w:w="0"/>
        <w:tblLook w:firstColumn="1" w:firstRow="1" w:lastColumn="0" w:lastRow="0" w:noHBand="0" w:noVBand="1" w:val="04A0"/>
      </w:tblPr>
      <w:tblGrid>
        <w:gridCol w:w="4323"/>
        <w:gridCol w:w="4323"/>
      </w:tblGrid>
      <w:tr>
        <w:tc>
          <w:tcPr>
            <w:tcW w:type="dxa" w:w="4323"/>
          </w:tcPr>
          <w:p>
            <w:r>
              <w:t>优势</w:t>
            </w:r>
          </w:p>
        </w:tc>
        <w:tc>
          <w:tcPr>
            <w:tcW w:type="dxa" w:w="4323"/>
          </w:tcPr>
          <w:p>
            <w:r>
              <w:t>代价</w:t>
            </w:r>
          </w:p>
        </w:tc>
      </w:tr>
      <w:tr>
        <w:tc>
          <w:tcPr>
            <w:tcW w:type="dxa" w:w="4323"/>
          </w:tcPr>
          <w:p>
            <w:r>
              <w:t>预约主链路可独立扩容，更适合 5000 QPS 场景</w:t>
            </w:r>
          </w:p>
        </w:tc>
        <w:tc>
          <w:tcPr>
            <w:tcW w:type="dxa" w:w="4323"/>
          </w:tcPr>
          <w:p>
            <w:r>
              <w:t>分布式一致性、监控和运维复杂度更高</w:t>
            </w:r>
          </w:p>
        </w:tc>
      </w:tr>
      <w:tr>
        <w:tc>
          <w:tcPr>
            <w:tcW w:type="dxa" w:w="4323"/>
          </w:tcPr>
          <w:p>
            <w:r>
              <w:t>新增门店与新能力接入更容易配置化演进</w:t>
            </w:r>
          </w:p>
        </w:tc>
        <w:tc>
          <w:tcPr>
            <w:tcW w:type="dxa" w:w="4323"/>
          </w:tcPr>
          <w:p>
            <w:r>
              <w:t>事件建模与接口治理要求更强</w:t>
            </w:r>
          </w:p>
        </w:tc>
      </w:tr>
      <w:tr>
        <w:tc>
          <w:tcPr>
            <w:tcW w:type="dxa" w:w="4323"/>
          </w:tcPr>
          <w:p>
            <w:r>
              <w:t>审计、通知、推荐等能力可独立部署和治理</w:t>
            </w:r>
          </w:p>
        </w:tc>
        <w:tc>
          <w:tcPr>
            <w:tcW w:type="dxa" w:w="4323"/>
          </w:tcPr>
          <w:p>
            <w:r>
              <w:t>实验三需要控制落地范围，避免一次实现过多服务</w:t>
            </w:r>
          </w:p>
        </w:tc>
      </w:tr>
    </w:tbl>
    <w:p>
      <w:pPr>
        <w:pStyle w:val="Heading1"/>
      </w:pPr>
      <w:r>
        <w:t>4 ATAM 评估</w:t>
      </w:r>
    </w:p>
    <w:p>
      <w:pPr>
        <w:jc w:val="left"/>
      </w:pPr>
      <w:r>
        <w:rPr>
          <w:b/>
        </w:rPr>
        <w:t>表 4-1 QAS 与方案匹配</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QAS</w:t>
            </w:r>
          </w:p>
        </w:tc>
        <w:tc>
          <w:tcPr>
            <w:tcW w:type="dxa" w:w="2161"/>
          </w:tcPr>
          <w:p>
            <w:r>
              <w:t>质量属性</w:t>
            </w:r>
          </w:p>
        </w:tc>
        <w:tc>
          <w:tcPr>
            <w:tcW w:type="dxa" w:w="2161"/>
          </w:tcPr>
          <w:p>
            <w:r>
              <w:t>方案 A</w:t>
            </w:r>
          </w:p>
        </w:tc>
        <w:tc>
          <w:tcPr>
            <w:tcW w:type="dxa" w:w="2161"/>
          </w:tcPr>
          <w:p>
            <w:r>
              <w:t>方案 B</w:t>
            </w:r>
          </w:p>
        </w:tc>
      </w:tr>
      <w:tr>
        <w:tc>
          <w:tcPr>
            <w:tcW w:type="dxa" w:w="2161"/>
          </w:tcPr>
          <w:p>
            <w:r>
              <w:t>QAS-001</w:t>
            </w:r>
          </w:p>
        </w:tc>
        <w:tc>
          <w:tcPr>
            <w:tcW w:type="dxa" w:w="2161"/>
          </w:tcPr>
          <w:p>
            <w:r>
              <w:t>性能效率</w:t>
            </w:r>
          </w:p>
        </w:tc>
        <w:tc>
          <w:tcPr>
            <w:tcW w:type="dxa" w:w="2161"/>
          </w:tcPr>
          <w:p>
            <w:r>
              <w:t>弱</w:t>
            </w:r>
          </w:p>
        </w:tc>
        <w:tc>
          <w:tcPr>
            <w:tcW w:type="dxa" w:w="2161"/>
          </w:tcPr>
          <w:p>
            <w:r>
              <w:t>匹配</w:t>
            </w:r>
          </w:p>
        </w:tc>
      </w:tr>
      <w:tr>
        <w:tc>
          <w:tcPr>
            <w:tcW w:type="dxa" w:w="2161"/>
          </w:tcPr>
          <w:p>
            <w:r>
              <w:t>QAS-002</w:t>
            </w:r>
          </w:p>
        </w:tc>
        <w:tc>
          <w:tcPr>
            <w:tcW w:type="dxa" w:w="2161"/>
          </w:tcPr>
          <w:p>
            <w:r>
              <w:t>可靠性</w:t>
            </w:r>
          </w:p>
        </w:tc>
        <w:tc>
          <w:tcPr>
            <w:tcW w:type="dxa" w:w="2161"/>
          </w:tcPr>
          <w:p>
            <w:r>
              <w:t>弱</w:t>
            </w:r>
          </w:p>
        </w:tc>
        <w:tc>
          <w:tcPr>
            <w:tcW w:type="dxa" w:w="2161"/>
          </w:tcPr>
          <w:p>
            <w:r>
              <w:t>匹配</w:t>
            </w:r>
          </w:p>
        </w:tc>
      </w:tr>
      <w:tr>
        <w:tc>
          <w:tcPr>
            <w:tcW w:type="dxa" w:w="2161"/>
          </w:tcPr>
          <w:p>
            <w:r>
              <w:t>QAS-003</w:t>
            </w:r>
          </w:p>
        </w:tc>
        <w:tc>
          <w:tcPr>
            <w:tcW w:type="dxa" w:w="2161"/>
          </w:tcPr>
          <w:p>
            <w:r>
              <w:t>安全性</w:t>
            </w:r>
          </w:p>
        </w:tc>
        <w:tc>
          <w:tcPr>
            <w:tcW w:type="dxa" w:w="2161"/>
          </w:tcPr>
          <w:p>
            <w:r>
              <w:t>弱</w:t>
            </w:r>
          </w:p>
        </w:tc>
        <w:tc>
          <w:tcPr>
            <w:tcW w:type="dxa" w:w="2161"/>
          </w:tcPr>
          <w:p>
            <w:r>
              <w:t>匹配</w:t>
            </w:r>
          </w:p>
        </w:tc>
      </w:tr>
      <w:tr>
        <w:tc>
          <w:tcPr>
            <w:tcW w:type="dxa" w:w="2161"/>
          </w:tcPr>
          <w:p>
            <w:r>
              <w:t>QAS-004</w:t>
            </w:r>
          </w:p>
        </w:tc>
        <w:tc>
          <w:tcPr>
            <w:tcW w:type="dxa" w:w="2161"/>
          </w:tcPr>
          <w:p>
            <w:r>
              <w:t>可维护性</w:t>
            </w:r>
          </w:p>
        </w:tc>
        <w:tc>
          <w:tcPr>
            <w:tcW w:type="dxa" w:w="2161"/>
          </w:tcPr>
          <w:p>
            <w:r>
              <w:t>弱</w:t>
            </w:r>
          </w:p>
        </w:tc>
        <w:tc>
          <w:tcPr>
            <w:tcW w:type="dxa" w:w="2161"/>
          </w:tcPr>
          <w:p>
            <w:r>
              <w:t>匹配</w:t>
            </w:r>
          </w:p>
        </w:tc>
      </w:tr>
      <w:tr>
        <w:tc>
          <w:tcPr>
            <w:tcW w:type="dxa" w:w="2161"/>
          </w:tcPr>
          <w:p>
            <w:r>
              <w:t>QAS-005</w:t>
            </w:r>
          </w:p>
        </w:tc>
        <w:tc>
          <w:tcPr>
            <w:tcW w:type="dxa" w:w="2161"/>
          </w:tcPr>
          <w:p>
            <w:r>
              <w:t>易用性</w:t>
            </w:r>
          </w:p>
        </w:tc>
        <w:tc>
          <w:tcPr>
            <w:tcW w:type="dxa" w:w="2161"/>
          </w:tcPr>
          <w:p>
            <w:r>
              <w:t>匹配</w:t>
            </w:r>
          </w:p>
        </w:tc>
        <w:tc>
          <w:tcPr>
            <w:tcW w:type="dxa" w:w="2161"/>
          </w:tcPr>
          <w:p>
            <w:r>
              <w:t>弱</w:t>
            </w:r>
          </w:p>
        </w:tc>
      </w:tr>
      <w:tr>
        <w:tc>
          <w:tcPr>
            <w:tcW w:type="dxa" w:w="2161"/>
          </w:tcPr>
          <w:p>
            <w:r>
              <w:t>QAS-006</w:t>
            </w:r>
          </w:p>
        </w:tc>
        <w:tc>
          <w:tcPr>
            <w:tcW w:type="dxa" w:w="2161"/>
          </w:tcPr>
          <w:p>
            <w:r>
              <w:t>兼容性</w:t>
            </w:r>
          </w:p>
        </w:tc>
        <w:tc>
          <w:tcPr>
            <w:tcW w:type="dxa" w:w="2161"/>
          </w:tcPr>
          <w:p>
            <w:r>
              <w:t>匹配</w:t>
            </w:r>
          </w:p>
        </w:tc>
        <w:tc>
          <w:tcPr>
            <w:tcW w:type="dxa" w:w="2161"/>
          </w:tcPr>
          <w:p>
            <w:r>
              <w:t>弱</w:t>
            </w:r>
          </w:p>
        </w:tc>
      </w:tr>
      <w:tr>
        <w:tc>
          <w:tcPr>
            <w:tcW w:type="dxa" w:w="2161"/>
          </w:tcPr>
          <w:p>
            <w:r>
              <w:t>QAS-007</w:t>
            </w:r>
          </w:p>
        </w:tc>
        <w:tc>
          <w:tcPr>
            <w:tcW w:type="dxa" w:w="2161"/>
          </w:tcPr>
          <w:p>
            <w:r>
              <w:t>安全性</w:t>
            </w:r>
          </w:p>
        </w:tc>
        <w:tc>
          <w:tcPr>
            <w:tcW w:type="dxa" w:w="2161"/>
          </w:tcPr>
          <w:p>
            <w:r>
              <w:t>弱</w:t>
            </w:r>
          </w:p>
        </w:tc>
        <w:tc>
          <w:tcPr>
            <w:tcW w:type="dxa" w:w="2161"/>
          </w:tcPr>
          <w:p>
            <w:r>
              <w:t>匹配</w:t>
            </w:r>
          </w:p>
        </w:tc>
      </w:tr>
      <w:tr>
        <w:tc>
          <w:tcPr>
            <w:tcW w:type="dxa" w:w="2161"/>
          </w:tcPr>
          <w:p>
            <w:r>
              <w:t>QAS-008</w:t>
            </w:r>
          </w:p>
        </w:tc>
        <w:tc>
          <w:tcPr>
            <w:tcW w:type="dxa" w:w="2161"/>
          </w:tcPr>
          <w:p>
            <w:r>
              <w:t>可移植性</w:t>
            </w:r>
          </w:p>
        </w:tc>
        <w:tc>
          <w:tcPr>
            <w:tcW w:type="dxa" w:w="2161"/>
          </w:tcPr>
          <w:p>
            <w:r>
              <w:t>弱</w:t>
            </w:r>
          </w:p>
        </w:tc>
        <w:tc>
          <w:tcPr>
            <w:tcW w:type="dxa" w:w="2161"/>
          </w:tcPr>
          <w:p>
            <w:r>
              <w:t>匹配</w:t>
            </w:r>
          </w:p>
        </w:tc>
      </w:tr>
      <w:tr>
        <w:tc>
          <w:tcPr>
            <w:tcW w:type="dxa" w:w="2161"/>
          </w:tcPr>
          <w:p>
            <w:r>
              <w:t>QAS-009</w:t>
            </w:r>
          </w:p>
        </w:tc>
        <w:tc>
          <w:tcPr>
            <w:tcW w:type="dxa" w:w="2161"/>
          </w:tcPr>
          <w:p>
            <w:r>
              <w:t>功能适合性</w:t>
            </w:r>
          </w:p>
        </w:tc>
        <w:tc>
          <w:tcPr>
            <w:tcW w:type="dxa" w:w="2161"/>
          </w:tcPr>
          <w:p>
            <w:r>
              <w:t>弱</w:t>
            </w:r>
          </w:p>
        </w:tc>
        <w:tc>
          <w:tcPr>
            <w:tcW w:type="dxa" w:w="2161"/>
          </w:tcPr>
          <w:p>
            <w:r>
              <w:t>匹配</w:t>
            </w:r>
          </w:p>
        </w:tc>
      </w:tr>
      <w:tr>
        <w:tc>
          <w:tcPr>
            <w:tcW w:type="dxa" w:w="2161"/>
          </w:tcPr>
          <w:p>
            <w:r>
              <w:t>QAS-010</w:t>
            </w:r>
          </w:p>
        </w:tc>
        <w:tc>
          <w:tcPr>
            <w:tcW w:type="dxa" w:w="2161"/>
          </w:tcPr>
          <w:p>
            <w:r>
              <w:t>易用性</w:t>
            </w:r>
          </w:p>
        </w:tc>
        <w:tc>
          <w:tcPr>
            <w:tcW w:type="dxa" w:w="2161"/>
          </w:tcPr>
          <w:p>
            <w:r>
              <w:t>匹配</w:t>
            </w:r>
          </w:p>
        </w:tc>
        <w:tc>
          <w:tcPr>
            <w:tcW w:type="dxa" w:w="2161"/>
          </w:tcPr>
          <w:p>
            <w:r>
              <w:t>弱</w:t>
            </w:r>
          </w:p>
        </w:tc>
      </w:tr>
    </w:tbl>
    <w:p>
      <w:pPr>
        <w:pStyle w:val="Heading2"/>
      </w:pPr>
      <w:r>
        <w:t>4.1 敏感点</w:t>
      </w:r>
    </w:p>
    <w:p>
      <w:pPr>
        <w:pStyle w:val="ListBullet"/>
      </w:pPr>
      <w:r>
        <w:t>预约资源预占与时段查询的扩容方式直接影响 5000 QPS 能力</w:t>
      </w:r>
    </w:p>
    <w:p>
      <w:pPr>
        <w:pStyle w:val="ListBullet"/>
      </w:pPr>
      <w:r>
        <w:t>敏感数据集中存储还是分域治理直接影响合规与审计成本</w:t>
      </w:r>
    </w:p>
    <w:p>
      <w:pPr>
        <w:pStyle w:val="ListBullet"/>
      </w:pPr>
      <w:r>
        <w:t>同步调用链过长会放大通知、推荐等扩展能力对主链路的干扰</w:t>
      </w:r>
    </w:p>
    <w:p>
      <w:pPr>
        <w:pStyle w:val="Heading2"/>
      </w:pPr>
      <w:r>
        <w:t>4.2 权衡点</w:t>
      </w:r>
    </w:p>
    <w:p>
      <w:pPr>
        <w:pStyle w:val="ListBullet"/>
      </w:pPr>
      <w:r>
        <w:t>单体方案降低短期开发复杂度，但牺牲独立扩容与长期演进</w:t>
      </w:r>
    </w:p>
    <w:p>
      <w:pPr>
        <w:pStyle w:val="ListBullet"/>
      </w:pPr>
      <w:r>
        <w:t>微服务方案提升演进性与隔离性，但增加实验三实现和观测成本</w:t>
      </w:r>
    </w:p>
    <w:p>
      <w:pPr>
        <w:pStyle w:val="ListBullet"/>
      </w:pPr>
      <w:r>
        <w:t>推荐域是否独立服务影响解释性扩展与初期落地复杂度</w:t>
      </w:r>
    </w:p>
    <w:p>
      <w:pPr>
        <w:pStyle w:val="Heading2"/>
      </w:pPr>
      <w:r>
        <w:t>4.3 风险与非风险</w:t>
      </w:r>
    </w:p>
    <w:p>
      <w:pPr>
        <w:jc w:val="left"/>
      </w:pPr>
      <w:r>
        <w:rPr>
          <w:b/>
        </w:rPr>
        <w:t>表 4-2 风险与非风险</w:t>
      </w:r>
    </w:p>
    <w:tbl>
      <w:tblPr>
        <w:tblStyle w:val="TableGrid"/>
        <w:tblW w:type="auto" w:w="0"/>
        <w:tblLook w:firstColumn="1" w:firstRow="1" w:lastColumn="0" w:lastRow="0" w:noHBand="0" w:noVBand="1" w:val="04A0"/>
      </w:tblPr>
      <w:tblGrid>
        <w:gridCol w:w="4323"/>
        <w:gridCol w:w="4323"/>
      </w:tblGrid>
      <w:tr>
        <w:tc>
          <w:tcPr>
            <w:tcW w:type="dxa" w:w="4323"/>
          </w:tcPr>
          <w:p>
            <w:r>
              <w:t>风险</w:t>
            </w:r>
          </w:p>
        </w:tc>
        <w:tc>
          <w:tcPr>
            <w:tcW w:type="dxa" w:w="4323"/>
          </w:tcPr>
          <w:p>
            <w:r>
              <w:t>非风险</w:t>
            </w:r>
          </w:p>
        </w:tc>
      </w:tr>
      <w:tr>
        <w:tc>
          <w:tcPr>
            <w:tcW w:type="dxa" w:w="4323"/>
          </w:tcPr>
          <w:p>
            <w:r>
              <w:t>若一次性落地全部微服务，实验三实现范围会失控</w:t>
            </w:r>
          </w:p>
        </w:tc>
        <w:tc>
          <w:tcPr>
            <w:tcW w:type="dxa" w:w="4323"/>
          </w:tcPr>
          <w:p>
            <w:r>
              <w:t>核心双服务先落地可以在不牺牲架构表达完整性的前提下降低实验三风险</w:t>
            </w:r>
          </w:p>
        </w:tc>
      </w:tr>
      <w:tr>
        <w:tc>
          <w:tcPr>
            <w:tcW w:type="dxa" w:w="4323"/>
          </w:tcPr>
          <w:p>
            <w:r>
              <w:t>若审计与合规仅作为单体内功能模块表达，后续跨团队治理成本会升高</w:t>
            </w:r>
          </w:p>
        </w:tc>
        <w:tc>
          <w:tcPr>
            <w:tcW w:type="dxa" w:w="4323"/>
          </w:tcPr>
          <w:p>
            <w:r>
              <w:t>上下文边界已经能回链实验一需求，后续扩展不会重新命名业务域</w:t>
            </w:r>
          </w:p>
        </w:tc>
      </w:tr>
      <w:tr>
        <w:tc>
          <w:tcPr>
            <w:tcW w:type="dxa" w:w="4323"/>
          </w:tcPr>
          <w:p>
            <w:r>
              <w:t>若推荐与通知全部走同步调用，会放大预约主链路延迟风险</w:t>
            </w:r>
          </w:p>
        </w:tc>
        <w:tc>
          <w:tcPr>
            <w:tcW w:type="dxa" w:w="4323"/>
          </w:tcPr>
          <w:p>
            <w:r/>
          </w:p>
        </w:tc>
      </w:tr>
    </w:tbl>
    <w:p>
      <w:pPr>
        <w:pStyle w:val="Heading1"/>
      </w:pPr>
      <w:r>
        <w:t>5 最终选型与理由</w:t>
      </w:r>
    </w:p>
    <w:p>
      <w:r>
        <w:t>采用“微服务主线 + 核心双服务先落地”的折中方案：实验二保持完整的微服务边界表达，实验三只优先实现 member-service 与 reservation-service，其余上下文维持架构与契约层设计。</w:t>
      </w:r>
    </w:p>
    <w:p>
      <w:r>
        <w:t>最终建议采用“微服务主线 + 核心双服务先落地”的折中路线：实验二在逻辑上完整表达微服务边界，实验三实现上只优先落地 member-service 与 reservation-service，兼顾课程主题、架构可评审性和实现复杂度。</w:t>
      </w:r>
    </w:p>
    <w:p>
      <w:pPr>
        <w:pStyle w:val="Heading1"/>
      </w:pPr>
      <w:r>
        <w:t>6 下一阶段输入</w:t>
      </w:r>
    </w:p>
    <w:p>
      <w:pPr>
        <w:pStyle w:val="ListBullet"/>
      </w:pPr>
      <w:r>
        <w:t>D2-4 将基于本报告的最终推荐方案展开 C4 多视图。</w:t>
      </w:r>
    </w:p>
    <w:p>
      <w:pPr>
        <w:pStyle w:val="ListBullet"/>
      </w:pPr>
      <w:r>
        <w:t>D2-5 将按 member-service 与 reservation-service 先行设计 OpenAPI 契约。</w:t>
      </w:r>
    </w:p>
    <w:p>
      <w:pPr>
        <w:pStyle w:val="ListBullet"/>
      </w:pPr>
      <w:r>
        <w:t>D2-6 将围绕六个上下文绘制 ER 图，并重点展开双核心服务的数据模型。</w:t>
      </w:r>
    </w:p>
    <w:p>
      <w:pPr>
        <w:pStyle w:val="Heading1"/>
      </w:pPr>
      <w:r>
        <w:t>7 参考文献</w:t>
      </w:r>
    </w:p>
    <w:p>
      <w:r>
        <w:t>[1] Bass L., Clements P., Kazman R. Software Architecture in Practice (4th Ed.). Addison-Wesley, 2021.</w:t>
      </w:r>
    </w:p>
    <w:p>
      <w:r>
        <w:t>[2] Evans E. Domain-Driven Design. Addison-Wesley, 2003.</w:t>
      </w:r>
    </w:p>
    <w:p>
      <w:r>
        <w:t>[3] Vernon V. Implementing Domain-Driven Design. Addison-Wesley, 2013.</w:t>
      </w:r>
    </w:p>
    <w:p>
      <w:r>
        <w:t>[4] Brown S. The C4 Model for Visualising Software Architecture. https://c4model.com</w:t>
      </w:r>
    </w:p>
    <w:p>
      <w:r>
        <w:t>[5] Nygard M. Documenting Architecture Decisions. https://cognitect.com/blog/2011/11/15/documenting-architecture-decisions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《软件工程》实验报告 — NekoCafé 项目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