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 w:after="160"/>
        <w:jc w:val="center"/>
      </w:pPr>
      <w:r>
        <w:rPr>
          <w:rFonts w:ascii="Microsoft YaHei" w:hAnsi="Microsoft YaHei" w:eastAsia="Microsoft YaHei"/>
          <w:b w:val="0"/>
          <w:color w:val="777777"/>
          <w:sz w:val="28"/>
        </w:rPr>
        <w:t>北京林业大学 · 信息学院</w:t>
      </w:r>
    </w:p>
    <w:p>
      <w:pPr>
        <w:spacing w:after="80"/>
        <w:jc w:val="center"/>
      </w:pPr>
      <w:r>
        <w:rPr>
          <w:rFonts w:ascii="Microsoft YaHei" w:hAnsi="Microsoft YaHei" w:eastAsia="Microsoft YaHei"/>
          <w:b/>
          <w:color w:val="1A7A3D"/>
          <w:sz w:val="32"/>
        </w:rPr>
        <w:t>《软件工程》课程</w:t>
      </w:r>
    </w:p>
    <w:p>
      <w:pPr>
        <w:spacing w:after="80"/>
        <w:jc w:val="center"/>
      </w:pPr>
      <w:r>
        <w:rPr>
          <w:rFonts w:ascii="Microsoft YaHei" w:hAnsi="Microsoft YaHei" w:eastAsia="Microsoft YaHei"/>
          <w:b/>
          <w:color w:val="1A7A3D"/>
          <w:sz w:val="56"/>
        </w:rPr>
        <w:t>D2-7_架构决策记录ADR集  README</w:t>
      </w:r>
    </w:p>
    <w:p>
      <w:pPr>
        <w:spacing w:after="80"/>
        <w:jc w:val="center"/>
      </w:pPr>
      <w:r>
        <w:rPr>
          <w:rFonts w:ascii="Microsoft YaHei" w:hAnsi="Microsoft YaHei" w:eastAsia="Microsoft YaHei"/>
          <w:b w:val="0"/>
          <w:color w:val="777777"/>
          <w:sz w:val="28"/>
        </w:rPr>
        <w:t>Folder Package README</w:t>
      </w:r>
    </w:p>
    <w:p>
      <w:pPr>
        <w:spacing w:after="160"/>
        <w:jc w:val="center"/>
      </w:pPr>
      <w:r>
        <w:rPr>
          <w:rFonts w:ascii="Microsoft YaHei" w:hAnsi="Microsoft YaHei" w:eastAsia="Microsoft YaHei"/>
          <w:b/>
          <w:color w:val="2E9B55"/>
          <w:sz w:val="26"/>
        </w:rPr>
        <w:t>—— 案例：NekoCafé 猫咪主题餐饮预约平台 ——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包名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D2-7_架构决策记录ADR集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案例项目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NekoCafé 猫咪主题餐饮预约平台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模板版本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v1.0  ·  2026-05-06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提交方式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将整个文件夹打包为 ZIP 后上传</w:t>
            </w:r>
          </w:p>
        </w:tc>
      </w:tr>
    </w:tbl>
    <w:p/>
    <w:p>
      <w:r>
        <w:br w:type="page"/>
      </w:r>
    </w:p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本目录用途</w:t>
      </w:r>
    </w:p>
    <w:p>
      <w:pPr>
        <w:spacing w:after="80" w:before="0" w:line="336" w:lineRule="auto"/>
        <w:ind w:firstLine="340"/>
        <w:jc w:val="left"/>
      </w:pPr>
      <w:r>
        <w:rPr>
          <w:rFonts w:ascii="Microsoft YaHei" w:hAnsi="Microsoft YaHei" w:eastAsia="Microsoft YaHei"/>
          <w:b w:val="0"/>
          <w:color w:val="2B2B2B"/>
          <w:sz w:val="21"/>
        </w:rPr>
        <w:t>存放本项目所有 ADR（Architecture Decision Records），编号从 0001 起递增，已废弃的 ADR 通过 Status: Superseded by 0XXX 标记。</w:t>
      </w:r>
    </w:p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编号约定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2B2B2B"/>
          <w:sz w:val="21"/>
        </w:rPr>
        <w:t>0001  确立 ADR 制度（必备）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2B2B2B"/>
          <w:sz w:val="21"/>
        </w:rPr>
        <w:t>0002 起按时间顺序编号；不重排已有编号</w:t>
      </w:r>
    </w:p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MADR 模板字段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2B2B2B"/>
            <w:tcBorders>
              <w:top w:val="single" w:sz="4" w:space="0" w:color="2B2B2B"/>
              <w:left w:val="single" w:sz="4" w:space="0" w:color="2B2B2B"/>
              <w:bottom w:val="single" w:sz="4" w:space="0" w:color="2B2B2B"/>
              <w:right w:val="single" w:sz="4" w:space="0" w:color="2B2B2B"/>
            </w:tcBorders>
          </w:tcPr>
          <w:p>
            <w:pPr>
              <w:spacing w:after="0" w:line="288" w:lineRule="auto"/>
            </w:pPr>
            <w:r>
              <w:rPr>
                <w:rFonts w:ascii="Consolas" w:hAnsi="Consolas" w:eastAsia="Consolas"/>
                <w:b w:val="0"/>
                <w:color w:val="F0F0F0"/>
                <w:sz w:val="19"/>
              </w:rPr>
              <w:t>Title  : ADR 标题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Consolas"/>
                <w:b w:val="0"/>
                <w:color w:val="F0F0F0"/>
                <w:sz w:val="19"/>
              </w:rPr>
              <w:t>Status : Proposed / Accepted / Deprecated / Superseded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Consolas"/>
                <w:b w:val="0"/>
                <w:color w:val="F0F0F0"/>
                <w:sz w:val="19"/>
              </w:rPr>
              <w:t>Context: 背景、问题、约束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Consolas"/>
                <w:b w:val="0"/>
                <w:color w:val="F0F0F0"/>
                <w:sz w:val="19"/>
              </w:rPr>
              <w:t>Decision: 决策结论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Consolas"/>
                <w:b w:val="0"/>
                <w:color w:val="F0F0F0"/>
                <w:sz w:val="19"/>
              </w:rPr>
              <w:t>Consequences: 正/负/中性影响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Consolas"/>
                <w:b w:val="0"/>
                <w:color w:val="F0F0F0"/>
                <w:sz w:val="19"/>
              </w:rPr>
              <w:t>Alternatives Considered: 替代方案与放弃理由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Consolas"/>
                <w:b w:val="0"/>
                <w:color w:val="F0F0F0"/>
                <w:sz w:val="19"/>
              </w:rPr>
              <w:t>References: 参考资料 / 相关 ADR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DF4E3"/>
            <w:tcBorders>
              <w:top w:val="single" w:sz="8" w:space="0" w:color="E8A52B"/>
              <w:left w:val="single" w:sz="8" w:space="0" w:color="E8A52B"/>
              <w:bottom w:val="single" w:sz="8" w:space="0" w:color="E8A52B"/>
              <w:right w:val="single" w:sz="8" w:space="0" w:color="E8A52B"/>
            </w:tcBorders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C98B21"/>
                <w:sz w:val="21"/>
              </w:rPr>
              <w:t xml:space="preserve">📌 写作要点 </w:t>
            </w:r>
          </w:p>
          <w:p>
            <w:pPr>
              <w:spacing w:after="40" w:line="336" w:lineRule="auto"/>
            </w:pPr>
            <w:r>
              <w:rPr>
                <w:rFonts w:ascii="Microsoft YaHei" w:hAnsi="Microsoft YaHei" w:eastAsia="Microsoft YaHei"/>
                <w:b w:val="0"/>
                <w:color w:val="2B2B2B"/>
                <w:sz w:val="20"/>
              </w:rPr>
              <w:t>一份好的 ADR 不超过 1 页 A4。读者只需看 Status 和 Decision 两节就能知道"现在该怎么做"。</w:t>
            </w:r>
          </w:p>
        </w:tc>
      </w:tr>
    </w:tbl>
    <w:p/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