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事件风暴与上下文映射图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D2-2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事件风暴与上下文映射图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以事件风暴方法识别领域事件，进而划分限界上下文。本文档是后续 ADR 与 C4 图的依据。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事件风暴会议纪要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参与者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（列出参会人姓名 / 角色……）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方法说明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（Big Picture / Process Modeling / Software Modeling 三阶段执行情况）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领域事件列表（≥ 30 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（按时间线列出，例：顾客已注册 → 顾客已实名 → 顾客已绑定支付 → 顾客已下单 …… 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命令、聚合、策略、读模型识别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（用蓝/黄/紫/绿色卡片分类，输出本节）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限界上下文清单（≥ 6 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上下文名称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主要聚合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BC-1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顾客上下文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顾客 / 会员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BC-2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门店上下文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门店 / 桌位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BC-3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预约上下文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预约 / 排队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BC-4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订单与支付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订单 / 支付单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BC-5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会员与积分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积分账户 / 兑换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BC-6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猫咪档案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猫咪 / 健康记录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上下文映射图（Context Map）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（粘贴上下文映射图，并在每条关系上标注 Customer-Supplier / Conformist / ACL……）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关键聚合的不变式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（每个核心聚合给出 1-3 条不变式，如"订单一旦支付不可改桌"……）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