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160"/>
        <w:jc w:val="center"/>
      </w:pPr>
      <w:r>
        <w:rPr>
          <w:rFonts w:ascii="Microsoft YaHei" w:hAnsi="Microsoft YaHei" w:eastAsia="Microsoft YaHei"/>
          <w:b w:val="0"/>
          <w:color w:val="777777"/>
          <w:sz w:val="28"/>
        </w:rPr>
        <w:t>北京林业大学 · 信息学院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1A7A3D"/>
          <w:sz w:val="32"/>
        </w:rPr>
        <w:t>《软件工程》课程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1A7A3D"/>
          <w:sz w:val="56"/>
        </w:rPr>
        <w:t>测试计划与策略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 w:val="0"/>
          <w:color w:val="777777"/>
          <w:sz w:val="28"/>
        </w:rPr>
        <w:t>Deliverable Template</w:t>
      </w:r>
    </w:p>
    <w:p>
      <w:pPr>
        <w:spacing w:after="160"/>
        <w:jc w:val="center"/>
      </w:pPr>
      <w:r>
        <w:rPr>
          <w:rFonts w:ascii="Microsoft YaHei" w:hAnsi="Microsoft YaHei" w:eastAsia="Microsoft YaHei"/>
          <w:b/>
          <w:color w:val="2E9B55"/>
          <w:sz w:val="26"/>
        </w:rPr>
        <w:t>—— 案例：NekoCafé 猫咪主题餐饮预约平台 ——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产出编号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D4-1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产出名称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测试计划与策略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所属实验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实验四  软件质量工程与 AI 辅助代码审查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案例项目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NekoCafé 猫咪主题餐饮预约平台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模板版本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v1.0  ·  2026-05-06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班级 / 学号 / 姓名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___________ / ___________ / ___________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提交日期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20___ - ___ - ___</w:t>
            </w:r>
          </w:p>
        </w:tc>
      </w:tr>
    </w:tbl>
    <w:p/>
    <w:p>
      <w:r>
        <w:br w:type="page"/>
      </w:r>
    </w:p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使用说明</w:t>
      </w:r>
    </w:p>
    <w:p>
      <w:pPr>
        <w:spacing w:after="80" w:before="0" w:line="336" w:lineRule="auto"/>
        <w:ind w:firstLine="340"/>
        <w:jc w:val="left"/>
      </w:pPr>
      <w:r>
        <w:rPr>
          <w:rFonts w:ascii="Microsoft YaHei" w:hAnsi="Microsoft YaHei" w:eastAsia="Microsoft YaHei"/>
          <w:b w:val="0"/>
          <w:color w:val="2B2B2B"/>
          <w:sz w:val="21"/>
        </w:rPr>
        <w:t>向 QA 总监证明你"知道要测什么、怎么测、靠什么数据说话、何时停止"。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AF4EC"/>
            <w:tcBorders>
              <w:top w:val="single" w:sz="8" w:space="0" w:color="B8D8C2"/>
              <w:left w:val="single" w:sz="8" w:space="0" w:color="B8D8C2"/>
              <w:bottom w:val="single" w:sz="8" w:space="0" w:color="B8D8C2"/>
              <w:right w:val="single" w:sz="8" w:space="0" w:color="B8D8C2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 xml:space="preserve">📌 填写指引 </w:t>
            </w:r>
          </w:p>
          <w:p>
            <w:pPr>
              <w:spacing w:after="40" w:line="336" w:lineRule="auto"/>
            </w:pPr>
            <w:r>
              <w:rPr>
                <w:rFonts w:ascii="Microsoft YaHei" w:hAnsi="Microsoft YaHei" w:eastAsia="Microsoft YaHei"/>
                <w:b w:val="0"/>
                <w:color w:val="2B2B2B"/>
                <w:sz w:val="20"/>
              </w:rPr>
              <w:t>本模板按章节结构预设了每节的标题与提示。请在每个 "（请在此处填写……）" 区域中替换为正式内容；不允许删除章节标题；如某节确实不适用，请保留标题并标注「N/A 及理由」。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1  概述</w:t>
      </w:r>
    </w:p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1.1  目的与范围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16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1.2  与前序实验的衔接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16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（明确测试对象是实验三的代码 + 实验一的需求）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16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（请在此处填写本节正文……）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2  质量目标</w:t>
      </w:r>
    </w:p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2.1  ISO/IEC 25010 维度选择与目标值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40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（功能适合性、性能效率、可用性等八个维度选取并设定目标）</w:t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2.2  覆盖率与变异分数目标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20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（行覆盖 / 分支覆盖 / 变异分数 各设阈值）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16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（请在此处填写本节正文……）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3  测试金字塔与预算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40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（按层给出用例数量、跑时预算……）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4  测试类型与工具选型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134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3402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工具</w:t>
            </w:r>
          </w:p>
        </w:tc>
        <w:tc>
          <w:tcPr>
            <w:tcW w:type="dxa" w:w="4535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单元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JUnit5 / Pytest8 / Jest29</w:t>
            </w:r>
          </w:p>
        </w:tc>
        <w:tc>
          <w:tcPr>
            <w:tcW w:type="dxa" w:w="4535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快、独立、可重复</w:t>
            </w:r>
          </w:p>
        </w:tc>
      </w:tr>
      <w:tr>
        <w:tc>
          <w:tcPr>
            <w:tcW w:type="dxa" w:w="1134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集成</w:t>
            </w:r>
          </w:p>
        </w:tc>
        <w:tc>
          <w:tcPr>
            <w:tcW w:type="dxa" w:w="3402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Testcontainers</w:t>
            </w:r>
          </w:p>
        </w:tc>
        <w:tc>
          <w:tcPr>
            <w:tcW w:type="dxa" w:w="4535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真实数据库 + MQ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契约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Pact / Spring Cloud Contract</w:t>
            </w:r>
          </w:p>
        </w:tc>
        <w:tc>
          <w:tcPr>
            <w:tcW w:type="dxa" w:w="4535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消费者驱动</w:t>
            </w:r>
          </w:p>
        </w:tc>
      </w:tr>
      <w:tr>
        <w:tc>
          <w:tcPr>
            <w:tcW w:type="dxa" w:w="1134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E2E</w:t>
            </w:r>
          </w:p>
        </w:tc>
        <w:tc>
          <w:tcPr>
            <w:tcW w:type="dxa" w:w="3402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Playwright</w:t>
            </w:r>
          </w:p>
        </w:tc>
        <w:tc>
          <w:tcPr>
            <w:tcW w:type="dxa" w:w="4535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3 条用户旅程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性能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k6</w:t>
            </w:r>
          </w:p>
        </w:tc>
        <w:tc>
          <w:tcPr>
            <w:tcW w:type="dxa" w:w="4535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≥ 2 倍预期峰值</w:t>
            </w:r>
          </w:p>
        </w:tc>
      </w:tr>
      <w:tr>
        <w:tc>
          <w:tcPr>
            <w:tcW w:type="dxa" w:w="1134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安全</w:t>
            </w:r>
          </w:p>
        </w:tc>
        <w:tc>
          <w:tcPr>
            <w:tcW w:type="dxa" w:w="3402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OWASP ZAP</w:t>
            </w:r>
          </w:p>
        </w:tc>
        <w:tc>
          <w:tcPr>
            <w:tcW w:type="dxa" w:w="4535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Baseline 扫描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16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（请在此处填写本节正文……）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5  测试数据管理</w:t>
      </w:r>
    </w:p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5.1  数据生成策略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20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（Faker / Hypothesis / 真实数据脱敏）</w:t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5.2  脱敏与合规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20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（手机号 / 身份证 / 邮箱 等敏感字段处理规则）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16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（请在此处填写本节正文……）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6  环境矩阵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20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（每类测试在哪个环境跑：dev / staging / prod 的角色）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7  进度与里程碑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20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（按 4 学时拆分时间线）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8  风险与对策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24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（如 E2E 跑得慢 / 测试数据脏 / Mock 漂移……）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9  退出准则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20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（达到何种条件可视为本次测试完成）</w:t>
            </w:r>
          </w:p>
        </w:tc>
      </w:tr>
    </w:tbl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