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实验四  软件质量工程与 AI 辅助代码审查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Lab 4  Quality Engineering &amp; AI-assisted Code Review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实验编号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EXP-04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实验名称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软件质量工程与 AI 辅助代码审查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实验学时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4 学时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实验类型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综合设计性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前置实验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实验一、二、三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适用案例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编写日期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2026-05-06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一、实验目的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理解 软件质量 的多维内涵：ISO/IEC 25010 八大特性；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掌握 测试金字塔（单元 → 集成 → E2E）与 测试奖杯（静态 + 单元 + 集成 + E2E）的取舍；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能够编写 可测试的代码：依赖注入、纯函数、契约式设计；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能够使用 基于属性的测试（PBT） 与 变异测试（Mutation Testing） 提升测试有效性；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能够构建 AI 辅助代码审查 工作流：让 AI 担任「资深 Reviewer」给出改进建议；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能够编写 缺陷报告、组织 缺陷分析会、形成 质量改进闭环。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二、实验背景与场景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实验三的流水线已经稳定跑了两周，这时 QA 总监找到你：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4E3"/>
            <w:tcBorders>
              <w:top w:val="single" w:sz="8" w:space="0" w:color="E8A52B"/>
              <w:left w:val="single" w:sz="8" w:space="0" w:color="E8A52B"/>
              <w:bottom w:val="single" w:sz="8" w:space="0" w:color="E8A52B"/>
              <w:right w:val="single" w:sz="8" w:space="0" w:color="E8A52B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C98B21"/>
                <w:sz w:val="21"/>
              </w:rPr>
              <w:t xml:space="preserve">🐱 QA 总监的真实诉求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"上线后我们收到了一个让人脸红的 Bug：用户为「橘猫」预约时被系统识别成「橘子套餐」。请你给出一份让我们以后再也不会犯类似错误的质量保障方案，并用真实的测试用例和 AI 评审证明它有效。"</w:t>
            </w:r>
          </w:p>
        </w:tc>
      </w:tr>
    </w:tbl>
    <w:p/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你的任务是：在原有代码基础上，建立完整的质量保障体系，并对实验三留下的代码做一次彻底的"全面体检"。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三、实验环境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737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单元测试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JUnit 5 / Pytest 8 / Jest 29 / xUnit（任选）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集成测试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Testcontainers / Docker Compose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E2E 测试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Playwright / Cypress / Selenium 4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API 测试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Postman / RestAssured / Pytest + httpx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性能测试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JMeter / k6 / Locust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安全测试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OWASP ZAP / Burp Suite Community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PBT 工具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Hypothesis / jqwik / fast-check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变异测试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Pitest / mutmut / Stryker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静态分析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SonarQube / CodeQL / Semgrep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AI 评审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Claude Code / GitHub Copilot Code Review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缺陷管理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GitHub Issues + Project / Jira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四、实验内容与步骤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1　测试策略制定（0.5 学时）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撰写 测试计划，明确质量目标（覆盖率、缺陷密度、缺陷逃逸率）；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绘制 测试金字塔图，给出每层数量预算；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制定 测试数据管理策略（含敏感数据脱敏）。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2　单元测试与契约测试（1 学时）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单元测试覆盖率（行覆盖）≥ 70%、分支覆盖率 ≥ 60%；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至少 5 个核心域类必须使用 基于属性的测试；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服务间使用 Pact / Spring Cloud Contract 进行契约测试，至少 3 对消费者-提供者；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运行 变异测试，变异分数 ≥ 60%。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3　集成测试与 E2E 测试（1 学时）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使用 Testcontainers 启动真实数据库与消息队列，至少 10 个集成测试；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编写 3 条核心用户旅程的 E2E 测试：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新用户注册 → 浏览门店 → 完成预约 → 取消预约；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老会员登录 → AI 推荐 → 下单 → 支付 → 评价；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店员后台 → 接单 → 调度桌位 → 完单 → 看板更新。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E2E 测试须接入实验三流水线，作为 CD 准入门槛。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4　非功能测试（0.5 学时）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性能测试：用 k6/JMeter 压测「桌位预约」接口，给出 RT/TPS/错误率三条曲线；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安全测试：使用 OWASP ZAP 对 API 网关做 Baseline 扫描；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可访问性测试：对前端页面运行 Lighthouse / axe，评分 ≥ 90。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5　AI 辅助代码审查（0.5 学时）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设计 3 轮渐进式 AI 评审：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轮次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视角</w:t>
            </w:r>
          </w:p>
        </w:tc>
        <w:tc>
          <w:tcPr>
            <w:tcW w:type="dxa" w:w="5953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重点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R1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资深架构师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设计原则、SOLID、可演进性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R2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安全专家</w:t>
            </w:r>
          </w:p>
        </w:tc>
        <w:tc>
          <w:tcPr>
            <w:tcW w:type="dxa" w:w="595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OWASP Top 10、密钥管理、注入风险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R3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性能工程师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N+1 查询、并发安全、缓存策略</w:t>
            </w:r>
          </w:p>
        </w:tc>
      </w:tr>
    </w:tbl>
    <w:p/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每轮提交至少 1 个 PR；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记录 AI 给出的所有意见，对每条标注「采纳 / 部分采纳 / 拒绝」并说明理由；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形成 AI 评审有效性分析（误报率、漏报率）。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6　缺陷管理与质量度量（0.5 学时）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在 GitHub Issues 中至少建立 10 个真实缺陷条目，覆盖不同严重等级；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使用 缺陷四象限（严重度 × 优先级）排序；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召开一次 缺陷分析会（Bug Bash），输出 5 项流程改进措施；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计算并展示 缺陷密度、缺陷逃逸率、平均修复时长。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五、实验要求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可执行：所有测试须能在实验三的 CI 流水线上自动运行；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可度量：覆盖率、变异分数、缺陷密度等所有指标须有数据支撑；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可追溯：每条测试用例须能追溯到实验一的需求 ID（扩展 RTM）；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可审计：AI 评审记录须保留完整对话与版本号；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诚实性：禁止为达标而注释关键测试或修改阈值，违反者本实验不及格。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六、预期产出文件清单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68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96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73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必交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D4-1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01_测试计划与策略.docx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含测试金字塔与数据策略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D4-2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02_测试用例设计文档.xlsx</w:t>
            </w:r>
          </w:p>
        </w:tc>
        <w:tc>
          <w:tcPr>
            <w:tcW w:type="dxa" w:w="96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Excel</w:t>
            </w:r>
          </w:p>
        </w:tc>
        <w:tc>
          <w:tcPr>
            <w:tcW w:type="dxa" w:w="73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≥ 80 条用例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D4-3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03_自动化测试代码与运行报告 / 文件夹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文件夹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含 HTML 报告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D4-4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04_性能_安全_可访问性测试报告.docx</w:t>
            </w:r>
          </w:p>
        </w:tc>
        <w:tc>
          <w:tcPr>
            <w:tcW w:type="dxa" w:w="96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73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三类非功能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D4-5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05_AI代码审查记录与有效性分析.docx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3 轮评审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D4-6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06_缺陷台账与缺陷分析会纪要.xlsx</w:t>
            </w:r>
          </w:p>
        </w:tc>
        <w:tc>
          <w:tcPr>
            <w:tcW w:type="dxa" w:w="96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Excel</w:t>
            </w:r>
          </w:p>
        </w:tc>
        <w:tc>
          <w:tcPr>
            <w:tcW w:type="dxa" w:w="73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≥ 10 条缺陷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D4-7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07_质量度量看板截图.docx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含 SonarQube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D4-8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08_RTM扩展矩阵_v2.xlsx</w:t>
            </w:r>
          </w:p>
        </w:tc>
        <w:tc>
          <w:tcPr>
            <w:tcW w:type="dxa" w:w="96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Excel</w:t>
            </w:r>
          </w:p>
        </w:tc>
        <w:tc>
          <w:tcPr>
            <w:tcW w:type="dxa" w:w="73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衔接实验一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D4-9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09_答辩PPT.pptx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PPT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≤ 15 页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D4-10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10_课程总结与个人反思.docx</w:t>
            </w:r>
          </w:p>
        </w:tc>
        <w:tc>
          <w:tcPr>
            <w:tcW w:type="dxa" w:w="96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73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每人 ≥ 800 字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七、各预期产出文件大纲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D4-1　测试计划与策略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1  概述（目的 / 范围 / 衔接）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2  质量目标（ISO 25010 维度 + 覆盖率与变异分数目标）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3  测试金字塔与预算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4  测试类型与工具选型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5  测试数据管理（生成 / 脱敏与合规）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6  环境矩阵     7  进度与里程碑     8  风险与对策     9  退出准则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D4-2　测试用例设计文档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表头：用例ID | 所属需求ID | 测试类型 | 模块 | 前置条件 | 输入 | 步骤 | 预期 | 实际 | 通过/失败 | 优先级 | 设计技术 | 备注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至少 80 条用例，覆盖：等价类 / 边界值 / 决策表 / 状态迁移 / 场景法 / 错误推测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D4-3　自动化测试代码与运行报告（文件夹结构）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tests/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unit/         ≥ 70% 行覆盖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property/     PBT，≥ 5 个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contract/     Pact，≥ 3 对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integration/  Testcontainers，≥ 10 个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e2e/          3 条用户旅程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perf/         k6/JMeter 脚本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security/     ZAP 配置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└── reports/      coverage.html / mutation.html / pact.html / junit.xml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D4-4　性能_安全_可访问性测试报告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1  性能测试（目标 / 脚本 / RT-TPS-错误率曲线 / 火焰图 / 优化）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2  安全测试（扫描范围 / OWASP Top 10 风险 / 修复 PR）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3  可访问性测试（Lighthouse 评分 / 整改前后对比）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4  结论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D4-5　AI 代码审查记录与有效性分析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1  评审方法（Prompt 模板 / 评审范围）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2  R1 资深架构师视角（AI 意见 + 人工裁决）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3  R2 安全专家视角     4  R3 性能工程师视角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5  有效性分析（采纳率 / 误报率 / 漏报率 / 与 SonarQube 对比）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6  AI 评审最佳实践总结（≥ 5 条）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附录  完整对话记录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D4-6　缺陷台账与缺陷分析会纪要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Sheet1 缺陷台账：缺陷ID | 标题 | 严重度 | 优先级 | 模块 | 发现阶段 | 报告人 | 处理人 | 状态 | 创建/关闭时间 | 修复 PR | 根因分类 | 备注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Sheet2 度量指标：缺陷密度 / 逃逸率 / MTTR / 四象限分布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Sheet3 Bug Bash 纪要：参会 / Top 5 根因 / 5 项流程改进措施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D4-7　质量度量看板截图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1  SonarQube 总览     2  覆盖率趋势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3  代码异味与技术债   4  重复率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5  安全热点           6  质量门禁状态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D4-8　RTM 扩展矩阵 v2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在实验一 RTM 基础上扩展两列：自动化测试用例ID / 通过状态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确保 100% 的功能需求都至少有 1 条自动化测试覆盖；未覆盖项须给出原因。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D4-9　答辩 PPT 大纲（≤ 15 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P1  封面     P2  质量目标与策略     P3  测试金字塔实施情况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P4-5  单元/契约/集成测试亮点         P6  E2E 用户旅程演示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P7  性能压测曲线     P8  安全扫描发现与修复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P9  AI 评审三轮成果对比   P10  AI 评审 vs 静态分析有效性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P11  缺陷台账总览   P12  Bug Bash 改进措施   P13  覆盖率/变异分数/质量门禁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P14  课程整体复盘   P15  Q&amp;A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D4-10　课程总结与个人反思（每人 ≥ 800 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1  课程整体收获（按四个实验串联）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2  个人贡献与团队角色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3  最大的一次失败与教训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4  对 AI 辅助软件工程的看法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5  对未来职业的影响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6  对课程的改进建议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八、评分标准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评价维度</w:t>
            </w:r>
          </w:p>
        </w:tc>
        <w:tc>
          <w:tcPr>
            <w:tcW w:type="dxa" w:w="102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6066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测试策略与计划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10%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目标量化、金字塔合理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测试用例与代码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25%</w:t>
            </w:r>
          </w:p>
        </w:tc>
        <w:tc>
          <w:tcPr>
            <w:tcW w:type="dxa" w:w="6066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覆盖率、变异分数、PBT、契约测试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非功能测试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15%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三类报告完整、问题可复现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AI 评审实践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15%</w:t>
            </w:r>
          </w:p>
        </w:tc>
        <w:tc>
          <w:tcPr>
            <w:tcW w:type="dxa" w:w="6066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角色多样、分析深入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缺陷管理闭环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10%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真实、可追溯、有改进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RTM 完整性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5%</w:t>
            </w:r>
          </w:p>
        </w:tc>
        <w:tc>
          <w:tcPr>
            <w:tcW w:type="dxa" w:w="6066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100% 覆盖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答辩与反思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20%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课程整体复盘深度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九、参考资料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ISO/IEC 25010:2011  Systems and software Quality Requirements and Evaluation (SQuaRE).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Crispin L., Gregory J.  Agile Testing.  Addison-Wesley, 2009.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Kaner C., Falk J., Nguyen H. Q.  Testing Computer Software (2nd Ed.).  Wiley, 1999.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OWASP Application Security Verification Standard (ASVS) v4.0.3.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Google.  Testing on the Toilet 系列博客.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2B2B2B"/>
          <w:sz w:val="21"/>
        </w:rPr>
        <w:t>Martin R. C.  Clean Code.  Prentice Hall, 2008.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7. </w:t>
      </w:r>
      <w:r>
        <w:rPr>
          <w:rFonts w:ascii="Microsoft YaHei" w:hAnsi="Microsoft YaHei" w:eastAsia="Microsoft YaHei"/>
          <w:b w:val="0"/>
          <w:color w:val="2B2B2B"/>
          <w:sz w:val="21"/>
        </w:rPr>
        <w:t>SonarQube：https://docs.sonarqube.org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十、提交说明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截止时间：实验开始后 2 周内的周日 23:59；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提交方式：超星学习通 ZIP 包 + 公开仓库链接（含 release/quality-v1.0 Tag）；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答辩安排：第 3 周课内，每组 15 分钟（含课程总评汇报）；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加分项：自定义 Semgrep / CodeQL 规则（+5 分）；故障注入演练 + Postmortem（+3 分）；个人反思入选优秀范文（+2 分）。</w:t>
      </w:r>
    </w:p>
    <w:p>
      <w:pPr>
        <w:spacing w:after="80" w:before="400" w:line="336" w:lineRule="auto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 xml:space="preserve"> </w:t>
      </w:r>
    </w:p>
    <w:p>
      <w:pPr>
        <w:spacing w:after="80" w:before="0" w:line="336" w:lineRule="auto"/>
        <w:jc w:val="right"/>
      </w:pPr>
      <w:r>
        <w:rPr>
          <w:rFonts w:ascii="Microsoft YaHei" w:hAnsi="Microsoft YaHei" w:eastAsia="Microsoft YaHei"/>
          <w:b w:val="0"/>
          <w:color w:val="777777"/>
          <w:sz w:val="20"/>
        </w:rPr>
        <w:t>执笔人：课程组</w:t>
      </w:r>
    </w:p>
    <w:p>
      <w:pPr>
        <w:spacing w:after="80" w:before="0" w:line="336" w:lineRule="auto"/>
        <w:jc w:val="right"/>
      </w:pPr>
      <w:r>
        <w:rPr>
          <w:rFonts w:ascii="Microsoft YaHei" w:hAnsi="Microsoft YaHei" w:eastAsia="Microsoft YaHei"/>
          <w:b w:val="0"/>
          <w:color w:val="777777"/>
          <w:sz w:val="20"/>
        </w:rPr>
        <w:t>版本：v1.0  ·  2026-05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