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共享基线到实验交付物映射表</w:t>
      </w:r>
    </w:p>
    <w:p>
      <w:pPr>
        <w:jc w:val="center"/>
      </w:pPr>
      <w:r>
        <w:t>Foundation → D1 / D2 / D3 / D4</w:t>
      </w:r>
    </w:p>
    <w:p>
      <w:pPr>
        <w:pStyle w:val="Heading1"/>
      </w:pPr>
      <w:r>
        <w:t>1. 设计原则</w:t>
      </w:r>
    </w:p>
    <w:p>
      <w:pPr>
        <w:pStyle w:val="ListBullet"/>
      </w:pPr>
      <w:r>
        <w:t>共享基线只维护一份主数据，正式交付物按实验拆分表达。</w:t>
      </w:r>
    </w:p>
    <w:p>
      <w:pPr>
        <w:pStyle w:val="ListBullet"/>
      </w:pPr>
      <w:r>
        <w:t>实验一产出需求与术语主表，实验二到实验四全部回引这份主表。</w:t>
      </w:r>
    </w:p>
    <w:p>
      <w:pPr>
        <w:pStyle w:val="ListBullet"/>
      </w:pPr>
      <w:r>
        <w:t>源文件、导出件和提交件分目录保存，避免同一文档多处散落。</w:t>
      </w:r>
    </w:p>
    <w:p>
      <w:pPr>
        <w:pStyle w:val="Heading1"/>
      </w:pPr>
      <w:r>
        <w:t>2. 映射总表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共享基线</w:t>
            </w:r>
          </w:p>
        </w:tc>
        <w:tc>
          <w:tcPr>
            <w:tcW w:type="dxa" w:w="2161"/>
          </w:tcPr>
          <w:p>
            <w:r>
              <w:t>主要内容</w:t>
            </w:r>
          </w:p>
        </w:tc>
        <w:tc>
          <w:tcPr>
            <w:tcW w:type="dxa" w:w="2161"/>
          </w:tcPr>
          <w:p>
            <w:r>
              <w:t>映射到实验交付</w:t>
            </w:r>
          </w:p>
        </w:tc>
        <w:tc>
          <w:tcPr>
            <w:tcW w:type="dxa" w:w="2161"/>
          </w:tcPr>
          <w:p>
            <w:r>
              <w:t>使用方式</w:t>
            </w:r>
          </w:p>
        </w:tc>
      </w:tr>
      <w:tr>
        <w:tc>
          <w:tcPr>
            <w:tcW w:type="dxa" w:w="2161"/>
          </w:tcPr>
          <w:p>
            <w:r>
              <w:t>project-overview.docx</w:t>
            </w:r>
          </w:p>
        </w:tc>
        <w:tc>
          <w:tcPr>
            <w:tcW w:type="dxa" w:w="2161"/>
          </w:tcPr>
          <w:p>
            <w:r>
              <w:t>案例、角色、命名、目录规范</w:t>
            </w:r>
          </w:p>
        </w:tc>
        <w:tc>
          <w:tcPr>
            <w:tcW w:type="dxa" w:w="2161"/>
          </w:tcPr>
          <w:p>
            <w:r>
              <w:t>D1-1 / D1-3 / D2-1 / D3-1 / D4-1</w:t>
            </w:r>
          </w:p>
        </w:tc>
        <w:tc>
          <w:tcPr>
            <w:tcW w:type="dxa" w:w="2161"/>
          </w:tcPr>
          <w:p>
            <w:r>
              <w:t>作为背景和术语一致性的引用源</w:t>
            </w:r>
          </w:p>
        </w:tc>
      </w:tr>
      <w:tr>
        <w:tc>
          <w:tcPr>
            <w:tcW w:type="dxa" w:w="2161"/>
          </w:tcPr>
          <w:p>
            <w:r>
              <w:t>requirements-baseline.xlsx</w:t>
            </w:r>
          </w:p>
        </w:tc>
        <w:tc>
          <w:tcPr>
            <w:tcW w:type="dxa" w:w="2161"/>
          </w:tcPr>
          <w:p>
            <w:r>
              <w:t>FR / NFR 主表、来源、优先级、验收准则</w:t>
            </w:r>
          </w:p>
        </w:tc>
        <w:tc>
          <w:tcPr>
            <w:tcW w:type="dxa" w:w="2161"/>
          </w:tcPr>
          <w:p>
            <w:r>
              <w:t>D1-2 / D1-3 / D2-1 / D4-2</w:t>
            </w:r>
          </w:p>
        </w:tc>
        <w:tc>
          <w:tcPr>
            <w:tcW w:type="dxa" w:w="2161"/>
          </w:tcPr>
          <w:p>
            <w:r>
              <w:t>实验一形成基线，后续按视图过滤与补充</w:t>
            </w:r>
          </w:p>
        </w:tc>
      </w:tr>
      <w:tr>
        <w:tc>
          <w:tcPr>
            <w:tcW w:type="dxa" w:w="2161"/>
          </w:tcPr>
          <w:p>
            <w:r>
              <w:t>glossary-rtm-master.xlsx</w:t>
            </w:r>
          </w:p>
        </w:tc>
        <w:tc>
          <w:tcPr>
            <w:tcW w:type="dxa" w:w="2161"/>
          </w:tcPr>
          <w:p>
            <w:r>
              <w:t>Glossary、RTM、命名规则</w:t>
            </w:r>
          </w:p>
        </w:tc>
        <w:tc>
          <w:tcPr>
            <w:tcW w:type="dxa" w:w="2161"/>
          </w:tcPr>
          <w:p>
            <w:r>
              <w:t>D1-5 / D4-8 / D2 追溯说明</w:t>
            </w:r>
          </w:p>
        </w:tc>
        <w:tc>
          <w:tcPr>
            <w:tcW w:type="dxa" w:w="2161"/>
          </w:tcPr>
          <w:p>
            <w:r>
              <w:t>同一主表扩展列，不复制第二份</w:t>
            </w:r>
          </w:p>
        </w:tc>
      </w:tr>
      <w:tr>
        <w:tc>
          <w:tcPr>
            <w:tcW w:type="dxa" w:w="2161"/>
          </w:tcPr>
          <w:p>
            <w:r>
              <w:t>project/ 代码骨架</w:t>
            </w:r>
          </w:p>
        </w:tc>
        <w:tc>
          <w:tcPr>
            <w:tcW w:type="dxa" w:w="2161"/>
          </w:tcPr>
          <w:p>
            <w:r>
              <w:t>服务入口、共享常量、测试目录、infra 占位</w:t>
            </w:r>
          </w:p>
        </w:tc>
        <w:tc>
          <w:tcPr>
            <w:tcW w:type="dxa" w:w="2161"/>
          </w:tcPr>
          <w:p>
            <w:r>
              <w:t>D3-2 / D4-3 / D4-7</w:t>
            </w:r>
          </w:p>
        </w:tc>
        <w:tc>
          <w:tcPr>
            <w:tcW w:type="dxa" w:w="2161"/>
          </w:tcPr>
          <w:p>
            <w:r>
              <w:t>实验三实现 PoC，实验四追加质量体系</w:t>
            </w:r>
          </w:p>
        </w:tc>
      </w:tr>
    </w:tbl>
    <w:p>
      <w:pPr>
        <w:pStyle w:val="Heading1"/>
      </w:pPr>
      <w:r>
        <w:t>3. 执行节奏</w:t>
      </w:r>
    </w:p>
    <w:p>
      <w:pPr>
        <w:pStyle w:val="ListNumber"/>
      </w:pPr>
      <w:r>
        <w:t>先完善 foundation 主表，再写实验一正式文档。</w:t>
      </w:r>
    </w:p>
    <w:p>
      <w:pPr>
        <w:pStyle w:val="ListNumber"/>
      </w:pPr>
      <w:r>
        <w:t>实验二所有图、OpenAPI、ADR 必须使用实验一的需求 ID 与术语。</w:t>
      </w:r>
    </w:p>
    <w:p>
      <w:pPr>
        <w:pStyle w:val="ListNumber"/>
      </w:pPr>
      <w:r>
        <w:t>实验三从 project/ 目录接手，实现两个服务的最小运行链路。</w:t>
      </w:r>
    </w:p>
    <w:p>
      <w:pPr>
        <w:pStyle w:val="ListNumber"/>
      </w:pPr>
      <w:r>
        <w:t>实验四直接在同一项目上补测试、质量看板、AI 评审与缺陷追踪。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NekoCafé 基座文档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