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C4 架构图集 README</w:t>
      </w:r>
    </w:p>
    <w:p>
      <w:pPr>
        <w:jc w:val="center"/>
      </w:pPr>
      <w:r>
        <w:t>D2-4 C4 Model Set README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vAlign w:val="center"/>
          </w:tcPr>
          <w:p>
            <w:r>
              <w:t>课程 / 实验</w:t>
            </w:r>
          </w:p>
        </w:tc>
        <w:tc>
          <w:tcPr>
            <w:tcW w:type="dxa" w:w="4323"/>
            <w:vAlign w:val="center"/>
          </w:tcPr>
          <w:p>
            <w:r>
              <w:t>软件工程 / 实验二 软件架构设计与微服务拆分实践</w:t>
            </w:r>
          </w:p>
        </w:tc>
      </w:tr>
      <w:tr>
        <w:tc>
          <w:tcPr>
            <w:tcW w:type="dxa" w:w="4323"/>
            <w:vAlign w:val="center"/>
          </w:tcPr>
          <w:p>
            <w:r>
              <w:t>产出编号</w:t>
            </w:r>
          </w:p>
        </w:tc>
        <w:tc>
          <w:tcPr>
            <w:tcW w:type="dxa" w:w="4323"/>
            <w:vAlign w:val="center"/>
          </w:tcPr>
          <w:p>
            <w:r>
              <w:t>D2-4</w:t>
            </w:r>
          </w:p>
        </w:tc>
      </w:tr>
      <w:tr>
        <w:tc>
          <w:tcPr>
            <w:tcW w:type="dxa" w:w="4323"/>
            <w:vAlign w:val="center"/>
          </w:tcPr>
          <w:p>
            <w:r>
              <w:t>班级 / 学号 / 姓名</w:t>
            </w:r>
          </w:p>
        </w:tc>
        <w:tc>
          <w:tcPr>
            <w:tcW w:type="dxa" w:w="4323"/>
            <w:vAlign w:val="center"/>
          </w:tcPr>
          <w:p>
            <w:r>
              <w:t>计算机23-2 / 231002208 / 戚晋瑜</w:t>
            </w:r>
          </w:p>
        </w:tc>
      </w:tr>
      <w:tr>
        <w:tc>
          <w:tcPr>
            <w:tcW w:type="dxa" w:w="4323"/>
            <w:vAlign w:val="center"/>
          </w:tcPr>
          <w:p>
            <w:r>
              <w:t>版本 / 日期</w:t>
            </w:r>
          </w:p>
        </w:tc>
        <w:tc>
          <w:tcPr>
            <w:tcW w:type="dxa" w:w="4323"/>
            <w:vAlign w:val="center"/>
          </w:tcPr>
          <w:p>
            <w:r>
              <w:t>v1.0 / 2026-05-07</w:t>
            </w:r>
          </w:p>
        </w:tc>
      </w:tr>
    </w:tbl>
    <w:p/>
    <w:p>
      <w:pPr>
        <w:pStyle w:val="Heading2"/>
      </w:pPr>
      <w:r>
        <w:t>学术诚信声明</w:t>
      </w:r>
    </w:p>
    <w:p>
      <w:r>
        <w:t>本人承诺所提交的实验材料系本人独立完成，对引用的他人成果均已明确标注。AI 生成内容均在附录中说明使用范围与提示词，并由本人完成复核与定稿。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797" w:bottom="1440" w:left="1797" w:header="720" w:footer="720" w:gutter="0"/>
          <w:cols w:space="720"/>
          <w:docGrid w:linePitch="360"/>
        </w:sectPr>
      </w:pPr>
    </w:p>
    <w:p>
      <w:pPr>
        <w:pStyle w:val="Heading1"/>
      </w:pPr>
      <w:r>
        <w:t>1 本目录用途</w:t>
      </w:r>
    </w:p>
    <w:p>
      <w:r>
        <w:t>本目录存放实验二 C4 四层视图的 drawio 源文件与 PNG 导出图。图集围绕“微服务主线 + 核心双服务先落地”的结论组织，便于在答辩时逐层讲解。</w:t>
      </w:r>
    </w:p>
    <w:p>
      <w:pPr>
        <w:pStyle w:val="Heading1"/>
      </w:pPr>
      <w:r>
        <w:t>2 图集清单</w:t>
      </w:r>
    </w:p>
    <w:p>
      <w:pPr>
        <w:jc w:val="left"/>
      </w:pPr>
      <w:r>
        <w:rPr>
          <w:b/>
        </w:rPr>
        <w:t>表 2-1 C4 视图清单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t>视图编号</w:t>
            </w:r>
          </w:p>
        </w:tc>
        <w:tc>
          <w:tcPr>
            <w:tcW w:type="dxa" w:w="2161"/>
          </w:tcPr>
          <w:p>
            <w:r>
              <w:t>文件名</w:t>
            </w:r>
          </w:p>
        </w:tc>
        <w:tc>
          <w:tcPr>
            <w:tcW w:type="dxa" w:w="2161"/>
          </w:tcPr>
          <w:p>
            <w:r>
              <w:t>层级</w:t>
            </w:r>
          </w:p>
        </w:tc>
        <w:tc>
          <w:tcPr>
            <w:tcW w:type="dxa" w:w="2161"/>
          </w:tcPr>
          <w:p>
            <w:r>
              <w:t>用途</w:t>
            </w:r>
          </w:p>
        </w:tc>
      </w:tr>
      <w:tr>
        <w:tc>
          <w:tcPr>
            <w:tcW w:type="dxa" w:w="2161"/>
          </w:tcPr>
          <w:p>
            <w:r>
              <w:t>L1</w:t>
            </w:r>
          </w:p>
        </w:tc>
        <w:tc>
          <w:tcPr>
            <w:tcW w:type="dxa" w:w="2161"/>
          </w:tcPr>
          <w:p>
            <w:r>
              <w:t>L1_System_Context.drawio</w:t>
            </w:r>
          </w:p>
        </w:tc>
        <w:tc>
          <w:tcPr>
            <w:tcW w:type="dxa" w:w="2161"/>
          </w:tcPr>
          <w:p>
            <w:r>
              <w:t>System Context</w:t>
            </w:r>
          </w:p>
        </w:tc>
        <w:tc>
          <w:tcPr>
            <w:tcW w:type="dxa" w:w="2161"/>
          </w:tcPr>
          <w:p>
            <w:r>
              <w:t>表达 NekoCafé 与顾客、店员及支付、地图、短信、AI 模型等外部系统边界。</w:t>
            </w:r>
          </w:p>
        </w:tc>
      </w:tr>
      <w:tr>
        <w:tc>
          <w:tcPr>
            <w:tcW w:type="dxa" w:w="2161"/>
          </w:tcPr>
          <w:p>
            <w:r>
              <w:t>L2</w:t>
            </w:r>
          </w:p>
        </w:tc>
        <w:tc>
          <w:tcPr>
            <w:tcW w:type="dxa" w:w="2161"/>
          </w:tcPr>
          <w:p>
            <w:r>
              <w:t>L2_Container.drawio</w:t>
            </w:r>
          </w:p>
        </w:tc>
        <w:tc>
          <w:tcPr>
            <w:tcW w:type="dxa" w:w="2161"/>
          </w:tcPr>
          <w:p>
            <w:r>
              <w:t>Container</w:t>
            </w:r>
          </w:p>
        </w:tc>
        <w:tc>
          <w:tcPr>
            <w:tcW w:type="dxa" w:w="2161"/>
          </w:tcPr>
          <w:p>
            <w:r>
              <w:t>表达前端入口、API Gateway、双核心服务、扩展服务、数据库、缓存与消息总线。</w:t>
            </w:r>
          </w:p>
        </w:tc>
      </w:tr>
      <w:tr>
        <w:tc>
          <w:tcPr>
            <w:tcW w:type="dxa" w:w="2161"/>
          </w:tcPr>
          <w:p>
            <w:r>
              <w:t>L3-MEMBER</w:t>
            </w:r>
          </w:p>
        </w:tc>
        <w:tc>
          <w:tcPr>
            <w:tcW w:type="dxa" w:w="2161"/>
          </w:tcPr>
          <w:p>
            <w:r>
              <w:t>L3_Component_Member.drawio</w:t>
            </w:r>
          </w:p>
        </w:tc>
        <w:tc>
          <w:tcPr>
            <w:tcW w:type="dxa" w:w="2161"/>
          </w:tcPr>
          <w:p>
            <w:r>
              <w:t>Component Member</w:t>
            </w:r>
          </w:p>
        </w:tc>
        <w:tc>
          <w:tcPr>
            <w:tcW w:type="dxa" w:w="2161"/>
          </w:tcPr>
          <w:p>
            <w:r>
              <w:t>深入 member-service 的控制器、应用服务、积分、优惠券、审计与仓储组件。</w:t>
            </w:r>
          </w:p>
        </w:tc>
      </w:tr>
      <w:tr>
        <w:tc>
          <w:tcPr>
            <w:tcW w:type="dxa" w:w="2161"/>
          </w:tcPr>
          <w:p>
            <w:r>
              <w:t>L3-RESERVATION</w:t>
            </w:r>
          </w:p>
        </w:tc>
        <w:tc>
          <w:tcPr>
            <w:tcW w:type="dxa" w:w="2161"/>
          </w:tcPr>
          <w:p>
            <w:r>
              <w:t>L3_Component_Reservation.drawio</w:t>
            </w:r>
          </w:p>
        </w:tc>
        <w:tc>
          <w:tcPr>
            <w:tcW w:type="dxa" w:w="2161"/>
          </w:tcPr>
          <w:p>
            <w:r>
              <w:t>Component Reservation</w:t>
            </w:r>
          </w:p>
        </w:tc>
        <w:tc>
          <w:tcPr>
            <w:tcW w:type="dxa" w:w="2161"/>
          </w:tcPr>
          <w:p>
            <w:r>
              <w:t>深入 reservation-service 的查询、命令、分配策略、等位和事件发布组件。</w:t>
            </w:r>
          </w:p>
        </w:tc>
      </w:tr>
      <w:tr>
        <w:tc>
          <w:tcPr>
            <w:tcW w:type="dxa" w:w="2161"/>
          </w:tcPr>
          <w:p>
            <w:r>
              <w:t>L4</w:t>
            </w:r>
          </w:p>
        </w:tc>
        <w:tc>
          <w:tcPr>
            <w:tcW w:type="dxa" w:w="2161"/>
          </w:tcPr>
          <w:p>
            <w:r>
              <w:t>L4_Code_ReservationCore.drawio</w:t>
            </w:r>
          </w:p>
        </w:tc>
        <w:tc>
          <w:tcPr>
            <w:tcW w:type="dxa" w:w="2161"/>
          </w:tcPr>
          <w:p>
            <w:r>
              <w:t>Code ReservationCore</w:t>
            </w:r>
          </w:p>
        </w:tc>
        <w:tc>
          <w:tcPr>
            <w:tcW w:type="dxa" w:w="2161"/>
          </w:tcPr>
          <w:p>
            <w:r>
              <w:t>给出 Reservation 核心组件的关键类协作与事务边界。</w:t>
            </w:r>
          </w:p>
        </w:tc>
      </w:tr>
    </w:tbl>
    <w:p>
      <w:pPr>
        <w:pStyle w:val="Heading1"/>
      </w:pPr>
      <w:r>
        <w:t>3 图形约定</w:t>
      </w:r>
    </w:p>
    <w:p>
      <w:pPr>
        <w:pStyle w:val="ListBullet"/>
      </w:pPr>
      <w:r>
        <w:t>人物与外部系统使用浅蓝色或浅绿色块表示，核心服务边界使用暖色块突出。</w:t>
      </w:r>
    </w:p>
    <w:p>
      <w:pPr>
        <w:pStyle w:val="ListBullet"/>
      </w:pPr>
      <w:r>
        <w:t>容器层将实验三会优先落地的 member-service 与 reservation-service 放在中央强调位置。</w:t>
      </w:r>
    </w:p>
    <w:p>
      <w:pPr>
        <w:pStyle w:val="ListBullet"/>
      </w:pPr>
      <w:r>
        <w:t>所有图均导出为 PNG，并在图集目录内同步保留 exports 子目录，便于按模板核查。</w:t>
      </w:r>
    </w:p>
    <w:p>
      <w:pPr>
        <w:pStyle w:val="Heading1"/>
      </w:pPr>
      <w:r>
        <w:t>4 与实验一/实验三的衔接</w:t>
      </w:r>
    </w:p>
    <w:p>
      <w:r>
        <w:t>L1-L4 视图与 D2-1 的高优先级 QAS、D2-2 的六个限界上下文、D2-3 的 ATAM 结论一一对应；同时 L3/L4 明确聚焦 member-service 和 reservation-service，为实验三服务代码实现保留直接输入。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《软件工程》实验报告 — NekoCafé 项目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Times New Roman" w:hAnsi="Times New Roman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