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ADR 0002 采用微服务主线并先实现双核心服务</w:t>
      </w:r>
    </w:p>
    <w:p>
      <w:pPr>
        <w:jc w:val="center"/>
      </w:pPr>
      <w:r>
        <w:t>D2-7 Architecture Decision Record 0002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r>
              <w:t>课程 / 实验</w:t>
            </w:r>
          </w:p>
        </w:tc>
        <w:tc>
          <w:tcPr>
            <w:tcW w:type="dxa" w:w="4323"/>
            <w:vAlign w:val="center"/>
          </w:tcPr>
          <w:p>
            <w:r>
              <w:t>软件工程 / 实验二 软件架构设计与微服务拆分实践</w:t>
            </w:r>
          </w:p>
        </w:tc>
      </w:tr>
      <w:tr>
        <w:tc>
          <w:tcPr>
            <w:tcW w:type="dxa" w:w="4323"/>
            <w:vAlign w:val="center"/>
          </w:tcPr>
          <w:p>
            <w:r>
              <w:t>产出编号</w:t>
            </w:r>
          </w:p>
        </w:tc>
        <w:tc>
          <w:tcPr>
            <w:tcW w:type="dxa" w:w="4323"/>
            <w:vAlign w:val="center"/>
          </w:tcPr>
          <w:p>
            <w:r>
              <w:t>D2-7</w:t>
            </w:r>
          </w:p>
        </w:tc>
      </w:tr>
      <w:tr>
        <w:tc>
          <w:tcPr>
            <w:tcW w:type="dxa" w:w="4323"/>
            <w:vAlign w:val="center"/>
          </w:tcPr>
          <w:p>
            <w:r>
              <w:t>班级 / 学号 / 姓名</w:t>
            </w:r>
          </w:p>
        </w:tc>
        <w:tc>
          <w:tcPr>
            <w:tcW w:type="dxa" w:w="4323"/>
            <w:vAlign w:val="center"/>
          </w:tcPr>
          <w:p>
            <w:r>
              <w:t>计算机23-2 / 231002208 / 戚晋瑜</w:t>
            </w:r>
          </w:p>
        </w:tc>
      </w:tr>
      <w:tr>
        <w:tc>
          <w:tcPr>
            <w:tcW w:type="dxa" w:w="4323"/>
            <w:vAlign w:val="center"/>
          </w:tcPr>
          <w:p>
            <w:r>
              <w:t>版本 / 日期</w:t>
            </w:r>
          </w:p>
        </w:tc>
        <w:tc>
          <w:tcPr>
            <w:tcW w:type="dxa" w:w="4323"/>
            <w:vAlign w:val="center"/>
          </w:tcPr>
          <w:p>
            <w:r>
              <w:t>v1.0 / 2026-05-07</w:t>
            </w:r>
          </w:p>
        </w:tc>
      </w:tr>
    </w:tbl>
    <w:p/>
    <w:p>
      <w:pPr>
        <w:pStyle w:val="Heading2"/>
      </w:pPr>
      <w:r>
        <w:t>学术诚信声明</w:t>
      </w:r>
    </w:p>
    <w:p>
      <w:r>
        <w:t>本人承诺所提交的实验材料系本人独立完成，对引用的他人成果均已明确标注。AI 生成内容均在附录中说明使用范围与提示词，并由本人完成复核与定稿。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pStyle w:val="Heading1"/>
      </w:pPr>
      <w:r>
        <w:t>1 Status</w:t>
      </w:r>
    </w:p>
    <w:p>
      <w:r>
        <w:t>Accepted</w:t>
      </w:r>
    </w:p>
    <w:p>
      <w:pPr>
        <w:pStyle w:val="Heading1"/>
      </w:pPr>
      <w:r>
        <w:t>2 Topic</w:t>
      </w:r>
    </w:p>
    <w:p>
      <w:r>
        <w:t>服务拆分粒度</w:t>
      </w:r>
    </w:p>
    <w:p>
      <w:pPr>
        <w:pStyle w:val="Heading1"/>
      </w:pPr>
      <w:r>
        <w:t>3 Context</w:t>
      </w:r>
    </w:p>
    <w:p>
      <w:r>
        <w:t>实验二要求完成完整架构表达，但实验三实现资源有限，不能一次性落地所有服务。</w:t>
      </w:r>
    </w:p>
    <w:p>
      <w:pPr>
        <w:pStyle w:val="Heading1"/>
      </w:pPr>
      <w:r>
        <w:t>4 Decision</w:t>
      </w:r>
    </w:p>
    <w:p>
      <w:r>
        <w:t>按限界上下文拆分为 6 个服务边界，在实现层优先落地 member-service 与 reservation-service，其余服务维持契约与架构表达。</w:t>
      </w:r>
    </w:p>
    <w:p>
      <w:pPr>
        <w:pStyle w:val="Heading1"/>
      </w:pPr>
      <w:r>
        <w:t>5 Consequences</w:t>
      </w:r>
    </w:p>
    <w:p>
      <w:pPr>
        <w:pStyle w:val="ListBullet"/>
      </w:pPr>
      <w:r>
        <w:t>正面：兼顾课程要求的完整性与实验三实现复杂度控制。</w:t>
      </w:r>
    </w:p>
    <w:p>
      <w:pPr>
        <w:pStyle w:val="ListBullet"/>
      </w:pPr>
      <w:r>
        <w:t>负面：部分跨域流程在实验三阶段只能以接口或事件契约形式存在。</w:t>
      </w:r>
    </w:p>
    <w:p>
      <w:pPr>
        <w:pStyle w:val="ListBullet"/>
      </w:pPr>
      <w:r>
        <w:t>中性：后续可按业务压力和教学安排再逐步实现其他服务。</w:t>
      </w:r>
    </w:p>
    <w:p>
      <w:pPr>
        <w:pStyle w:val="Heading1"/>
      </w:pPr>
      <w:r>
        <w:t>6 Alternatives Considered</w:t>
      </w:r>
    </w:p>
    <w:p>
      <w:pPr>
        <w:pStyle w:val="ListBullet"/>
      </w:pPr>
      <w:r>
        <w:t>全部做成模块化单体：不利于 5000 QPS 和后续演进表达。</w:t>
      </w:r>
    </w:p>
    <w:p>
      <w:pPr>
        <w:pStyle w:val="ListBullet"/>
      </w:pPr>
      <w:r>
        <w:t>一次性实现全量微服务：超出实验三可控范围。</w:t>
      </w:r>
    </w:p>
    <w:p>
      <w:pPr>
        <w:pStyle w:val="Heading1"/>
      </w:pPr>
      <w:r>
        <w:t>7 References</w:t>
      </w:r>
    </w:p>
    <w:p>
      <w:r>
        <w:t>[1] Bass L., Clements P., Kazman R. Software Architecture in Practice (4th Ed.). Addison-Wesley, 2021.</w:t>
      </w:r>
    </w:p>
    <w:p>
      <w:r>
        <w:t>[2] Evans E. Domain-Driven Design. Addison-Wesley, 2003.</w:t>
      </w:r>
    </w:p>
    <w:p>
      <w:r>
        <w:t>[3] Vernon V. Implementing Domain-Driven Design. Addison-Wesley, 2013.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《软件工程》实验报告 — NekoCafé 项目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