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0003 事务域采用 MySQL，缓存采用 Redis</w:t>
      </w:r>
    </w:p>
    <w:p>
      <w:pPr>
        <w:jc w:val="center"/>
      </w:pPr>
      <w:r>
        <w:t>D2-7 Architecture Decision Record 0003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数据库选型</w:t>
      </w:r>
    </w:p>
    <w:p>
      <w:pPr>
        <w:pStyle w:val="Heading1"/>
      </w:pPr>
      <w:r>
        <w:t>3 Context</w:t>
      </w:r>
    </w:p>
    <w:p>
      <w:r>
        <w:t>预约、会员、订单等核心事务域需要强一致事务与相对直观的关系建模，同时高峰期时段查询需要热点缓存。</w:t>
      </w:r>
    </w:p>
    <w:p>
      <w:pPr>
        <w:pStyle w:val="Heading1"/>
      </w:pPr>
      <w:r>
        <w:t>4 Decision</w:t>
      </w:r>
    </w:p>
    <w:p>
      <w:r>
        <w:t>核心事务数据统一使用 MySQL，热点查询与会话状态使用 Redis，后续分析型需求再通过事件流扩展到离线分析存储。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正面：事务语义清晰，便于实验三快速落地。</w:t>
      </w:r>
    </w:p>
    <w:p>
      <w:pPr>
        <w:pStyle w:val="ListBullet"/>
      </w:pPr>
      <w:r>
        <w:t>负面：若推荐和分析需求迅速增长，单纯 MySQL 需要后续补分析侧扩展。</w:t>
      </w:r>
    </w:p>
    <w:p>
      <w:pPr>
        <w:pStyle w:val="ListBullet"/>
      </w:pPr>
      <w:r>
        <w:t>中性：Redis 作为性能补充，而非主数据源。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全部使用 NoSQL：事务和复杂约束表达不如关系库直接。</w:t>
      </w:r>
    </w:p>
    <w:p>
      <w:pPr>
        <w:pStyle w:val="ListBullet"/>
      </w:pPr>
      <w:r>
        <w:t>立即引入多种专用数据库：当前教学场景维护成本过高。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