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ADR 0005 对外接口采用 REST + OpenAPI 3.0</w:t>
      </w:r>
    </w:p>
    <w:p>
      <w:pPr>
        <w:jc w:val="center"/>
      </w:pPr>
      <w:r>
        <w:t>D2-7 Architecture Decision Record 0005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vAlign w:val="center"/>
          </w:tcPr>
          <w:p>
            <w:r>
              <w:t>课程 / 实验</w:t>
            </w:r>
          </w:p>
        </w:tc>
        <w:tc>
          <w:tcPr>
            <w:tcW w:type="dxa" w:w="4323"/>
            <w:vAlign w:val="center"/>
          </w:tcPr>
          <w:p>
            <w:r>
              <w:t>软件工程 / 实验二 软件架构设计与微服务拆分实践</w:t>
            </w:r>
          </w:p>
        </w:tc>
      </w:tr>
      <w:tr>
        <w:tc>
          <w:tcPr>
            <w:tcW w:type="dxa" w:w="4323"/>
            <w:vAlign w:val="center"/>
          </w:tcPr>
          <w:p>
            <w:r>
              <w:t>产出编号</w:t>
            </w:r>
          </w:p>
        </w:tc>
        <w:tc>
          <w:tcPr>
            <w:tcW w:type="dxa" w:w="4323"/>
            <w:vAlign w:val="center"/>
          </w:tcPr>
          <w:p>
            <w:r>
              <w:t>D2-7</w:t>
            </w:r>
          </w:p>
        </w:tc>
      </w:tr>
      <w:tr>
        <w:tc>
          <w:tcPr>
            <w:tcW w:type="dxa" w:w="4323"/>
            <w:vAlign w:val="center"/>
          </w:tcPr>
          <w:p>
            <w:r>
              <w:t>班级 / 学号 / 姓名</w:t>
            </w:r>
          </w:p>
        </w:tc>
        <w:tc>
          <w:tcPr>
            <w:tcW w:type="dxa" w:w="4323"/>
            <w:vAlign w:val="center"/>
          </w:tcPr>
          <w:p>
            <w:r>
              <w:t>计算机23-2 / 231002208 / 戚晋瑜</w:t>
            </w:r>
          </w:p>
        </w:tc>
      </w:tr>
      <w:tr>
        <w:tc>
          <w:tcPr>
            <w:tcW w:type="dxa" w:w="4323"/>
            <w:vAlign w:val="center"/>
          </w:tcPr>
          <w:p>
            <w:r>
              <w:t>版本 / 日期</w:t>
            </w:r>
          </w:p>
        </w:tc>
        <w:tc>
          <w:tcPr>
            <w:tcW w:type="dxa" w:w="4323"/>
            <w:vAlign w:val="center"/>
          </w:tcPr>
          <w:p>
            <w:r>
              <w:t>v1.0 / 2026-05-07</w:t>
            </w:r>
          </w:p>
        </w:tc>
      </w:tr>
    </w:tbl>
    <w:p/>
    <w:p>
      <w:pPr>
        <w:pStyle w:val="Heading2"/>
      </w:pPr>
      <w:r>
        <w:t>学术诚信声明</w:t>
      </w:r>
    </w:p>
    <w:p>
      <w:r>
        <w:t>本人承诺所提交的实验材料系本人独立完成，对引用的他人成果均已明确标注。AI 生成内容均在附录中说明使用范围与提示词，并由本人完成复核与定稿。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797" w:bottom="1440" w:left="1797" w:header="720" w:footer="720" w:gutter="0"/>
          <w:cols w:space="720"/>
          <w:docGrid w:linePitch="360"/>
        </w:sectPr>
      </w:pPr>
    </w:p>
    <w:p>
      <w:pPr>
        <w:pStyle w:val="Heading1"/>
      </w:pPr>
      <w:r>
        <w:t>1 Status</w:t>
      </w:r>
    </w:p>
    <w:p>
      <w:r>
        <w:t>Accepted</w:t>
      </w:r>
    </w:p>
    <w:p>
      <w:pPr>
        <w:pStyle w:val="Heading1"/>
      </w:pPr>
      <w:r>
        <w:t>2 Topic</w:t>
      </w:r>
    </w:p>
    <w:p>
      <w:r>
        <w:t>API 风格</w:t>
      </w:r>
    </w:p>
    <w:p>
      <w:pPr>
        <w:pStyle w:val="Heading1"/>
      </w:pPr>
      <w:r>
        <w:t>3 Context</w:t>
      </w:r>
    </w:p>
    <w:p>
      <w:r>
        <w:t>实验二明确要求桌位预约服务与会员服务输出 OpenAPI 3.0 文档，实验三也需要较低门槛的接口联调方式。</w:t>
      </w:r>
    </w:p>
    <w:p>
      <w:pPr>
        <w:pStyle w:val="Heading1"/>
      </w:pPr>
      <w:r>
        <w:t>4 Decision</w:t>
      </w:r>
    </w:p>
    <w:p>
      <w:r>
        <w:t>对外同步接口统一采用 REST 风格，并以 OpenAPI 3.0 管理版本、鉴权、限流和错误码契约。</w:t>
      </w:r>
    </w:p>
    <w:p>
      <w:pPr>
        <w:pStyle w:val="Heading1"/>
      </w:pPr>
      <w:r>
        <w:t>5 Consequences</w:t>
      </w:r>
    </w:p>
    <w:p>
      <w:pPr>
        <w:pStyle w:val="ListBullet"/>
      </w:pPr>
      <w:r>
        <w:t>正面：契约清晰，适合课程交付与服务联调。</w:t>
      </w:r>
    </w:p>
    <w:p>
      <w:pPr>
        <w:pStyle w:val="ListBullet"/>
      </w:pPr>
      <w:r>
        <w:t>负面：对复杂聚合查询可能不如 GraphQL 灵活。</w:t>
      </w:r>
    </w:p>
    <w:p>
      <w:pPr>
        <w:pStyle w:val="ListBullet"/>
      </w:pPr>
      <w:r>
        <w:t>中性：未来若运营后台需要更灵活聚合查询，可单独评估 GraphQL BFF。</w:t>
      </w:r>
    </w:p>
    <w:p>
      <w:pPr>
        <w:pStyle w:val="Heading1"/>
      </w:pPr>
      <w:r>
        <w:t>6 Alternatives Considered</w:t>
      </w:r>
    </w:p>
    <w:p>
      <w:pPr>
        <w:pStyle w:val="ListBullet"/>
      </w:pPr>
      <w:r>
        <w:t>直接使用 GraphQL：当前收益不足，且增加联调门槛。</w:t>
      </w:r>
    </w:p>
    <w:p>
      <w:pPr>
        <w:pStyle w:val="ListBullet"/>
      </w:pPr>
      <w:r>
        <w:t>只写接口说明不做契约：不满足实验要求，也不利于后续实现。</w:t>
      </w:r>
    </w:p>
    <w:p>
      <w:pPr>
        <w:pStyle w:val="Heading1"/>
      </w:pPr>
      <w:r>
        <w:t>7 References</w:t>
      </w:r>
    </w:p>
    <w:p>
      <w:r>
        <w:t>[1] Bass L., Clements P., Kazman R. Software Architecture in Practice (4th Ed.). Addison-Wesley, 2021.</w:t>
      </w:r>
    </w:p>
    <w:p>
      <w:r>
        <w:t>[2] Evans E. Domain-Driven Design. Addison-Wesley, 2003.</w:t>
      </w:r>
    </w:p>
    <w:p>
      <w:r>
        <w:t>[3] Vernon V. Implementing Domain-Driven Design. Addison-Wesley, 2013.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《软件工程》实验报告 — NekoCafé 项目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