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D2-7 架构决策记录 ADR 集 README</w:t>
      </w:r>
    </w:p>
    <w:p>
      <w:pPr>
        <w:jc w:val="center"/>
      </w:pPr>
      <w:r>
        <w:t>D2-7 ADR Package README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r>
              <w:t>课程 / 实验</w:t>
            </w:r>
          </w:p>
        </w:tc>
        <w:tc>
          <w:tcPr>
            <w:tcW w:type="dxa" w:w="4323"/>
            <w:vAlign w:val="center"/>
          </w:tcPr>
          <w:p>
            <w:r>
              <w:t>软件工程 / 实验二 软件架构设计与微服务拆分实践</w:t>
            </w:r>
          </w:p>
        </w:tc>
      </w:tr>
      <w:tr>
        <w:tc>
          <w:tcPr>
            <w:tcW w:type="dxa" w:w="4323"/>
            <w:vAlign w:val="center"/>
          </w:tcPr>
          <w:p>
            <w:r>
              <w:t>产出编号</w:t>
            </w:r>
          </w:p>
        </w:tc>
        <w:tc>
          <w:tcPr>
            <w:tcW w:type="dxa" w:w="4323"/>
            <w:vAlign w:val="center"/>
          </w:tcPr>
          <w:p>
            <w:r>
              <w:t>D2-7</w:t>
            </w:r>
          </w:p>
        </w:tc>
      </w:tr>
      <w:tr>
        <w:tc>
          <w:tcPr>
            <w:tcW w:type="dxa" w:w="4323"/>
            <w:vAlign w:val="center"/>
          </w:tcPr>
          <w:p>
            <w:r>
              <w:t>班级 / 学号 / 姓名</w:t>
            </w:r>
          </w:p>
        </w:tc>
        <w:tc>
          <w:tcPr>
            <w:tcW w:type="dxa" w:w="4323"/>
            <w:vAlign w:val="center"/>
          </w:tcPr>
          <w:p>
            <w:r>
              <w:t>计算机23-2 / 231002208 / 戚晋瑜</w:t>
            </w:r>
          </w:p>
        </w:tc>
      </w:tr>
      <w:tr>
        <w:tc>
          <w:tcPr>
            <w:tcW w:type="dxa" w:w="4323"/>
            <w:vAlign w:val="center"/>
          </w:tcPr>
          <w:p>
            <w:r>
              <w:t>版本 / 日期</w:t>
            </w:r>
          </w:p>
        </w:tc>
        <w:tc>
          <w:tcPr>
            <w:tcW w:type="dxa" w:w="4323"/>
            <w:vAlign w:val="center"/>
          </w:tcPr>
          <w:p>
            <w:r>
              <w:t>v1.0 / 2026-05-07</w:t>
            </w:r>
          </w:p>
        </w:tc>
      </w:tr>
    </w:tbl>
    <w:p/>
    <w:p>
      <w:pPr>
        <w:pStyle w:val="Heading2"/>
      </w:pPr>
      <w:r>
        <w:t>学术诚信声明</w:t>
      </w:r>
    </w:p>
    <w:p>
      <w:r>
        <w:t>本人承诺所提交的实验材料系本人独立完成，对引用的他人成果均已明确标注。AI 生成内容均在附录中说明使用范围与提示词，并由本人完成复核与定稿。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pStyle w:val="Heading1"/>
      </w:pPr>
      <w:r>
        <w:t>1 本目录用途</w:t>
      </w:r>
    </w:p>
    <w:p>
      <w:r>
        <w:t>本目录存放实验二的 ADR 集。README 用于说明编号规则、主决策主题，以及 Markdown 托管目录与实验交付目录之间的关系。</w:t>
      </w:r>
    </w:p>
    <w:p>
      <w:pPr>
        <w:pStyle w:val="Heading1"/>
      </w:pPr>
      <w:r>
        <w:t>2 编号与同步规则</w:t>
      </w:r>
    </w:p>
    <w:p>
      <w:pPr>
        <w:pStyle w:val="ListBullet"/>
      </w:pPr>
      <w:r>
        <w:t>0001 固定用于确立 ADR 制度。</w:t>
      </w:r>
    </w:p>
    <w:p>
      <w:pPr>
        <w:pStyle w:val="ListBullet"/>
      </w:pPr>
      <w:r>
        <w:t>0002 起按决策出现顺序递增，不重排历史编号。</w:t>
      </w:r>
    </w:p>
    <w:p>
      <w:pPr>
        <w:pStyle w:val="ListBullet"/>
      </w:pPr>
      <w:r>
        <w:t>仓库根目录 docs/adr/lab2/ 下的 Markdown 为托管主版本，D2-7 文件夹中的 docx 为课程交付版。</w:t>
      </w:r>
    </w:p>
    <w:p>
      <w:pPr>
        <w:pStyle w:val="Heading1"/>
      </w:pPr>
      <w:r>
        <w:t>3 ADR 清单</w:t>
      </w:r>
    </w:p>
    <w:p>
      <w:pPr>
        <w:jc w:val="left"/>
      </w:pPr>
      <w:r>
        <w:rPr>
          <w:b/>
        </w:rPr>
        <w:t>表 3-1 ADR 编号与主题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编号</w:t>
            </w:r>
          </w:p>
        </w:tc>
        <w:tc>
          <w:tcPr>
            <w:tcW w:type="dxa" w:w="2882"/>
          </w:tcPr>
          <w:p>
            <w:r>
              <w:t>主题</w:t>
            </w:r>
          </w:p>
        </w:tc>
        <w:tc>
          <w:tcPr>
            <w:tcW w:type="dxa" w:w="2882"/>
          </w:tcPr>
          <w:p>
            <w:r>
              <w:t>标题</w:t>
            </w:r>
          </w:p>
        </w:tc>
      </w:tr>
      <w:tr>
        <w:tc>
          <w:tcPr>
            <w:tcW w:type="dxa" w:w="2882"/>
          </w:tcPr>
          <w:p>
            <w:r>
              <w:t>0001</w:t>
            </w:r>
          </w:p>
        </w:tc>
        <w:tc>
          <w:tcPr>
            <w:tcW w:type="dxa" w:w="2882"/>
          </w:tcPr>
          <w:p>
            <w:r>
              <w:t>ADR 制度</w:t>
            </w:r>
          </w:p>
        </w:tc>
        <w:tc>
          <w:tcPr>
            <w:tcW w:type="dxa" w:w="2882"/>
          </w:tcPr>
          <w:p>
            <w:r>
              <w:t>记录架构决策并保持编号连续</w:t>
            </w:r>
          </w:p>
        </w:tc>
      </w:tr>
      <w:tr>
        <w:tc>
          <w:tcPr>
            <w:tcW w:type="dxa" w:w="2882"/>
          </w:tcPr>
          <w:p>
            <w:r>
              <w:t>0002</w:t>
            </w:r>
          </w:p>
        </w:tc>
        <w:tc>
          <w:tcPr>
            <w:tcW w:type="dxa" w:w="2882"/>
          </w:tcPr>
          <w:p>
            <w:r>
              <w:t>服务拆分粒度</w:t>
            </w:r>
          </w:p>
        </w:tc>
        <w:tc>
          <w:tcPr>
            <w:tcW w:type="dxa" w:w="2882"/>
          </w:tcPr>
          <w:p>
            <w:r>
              <w:t>采用微服务主线并先实现双核心服务</w:t>
            </w:r>
          </w:p>
        </w:tc>
      </w:tr>
      <w:tr>
        <w:tc>
          <w:tcPr>
            <w:tcW w:type="dxa" w:w="2882"/>
          </w:tcPr>
          <w:p>
            <w:r>
              <w:t>0003</w:t>
            </w:r>
          </w:p>
        </w:tc>
        <w:tc>
          <w:tcPr>
            <w:tcW w:type="dxa" w:w="2882"/>
          </w:tcPr>
          <w:p>
            <w:r>
              <w:t>数据库选型</w:t>
            </w:r>
          </w:p>
        </w:tc>
        <w:tc>
          <w:tcPr>
            <w:tcW w:type="dxa" w:w="2882"/>
          </w:tcPr>
          <w:p>
            <w:r>
              <w:t>事务域采用 MySQL，缓存采用 Redis</w:t>
            </w:r>
          </w:p>
        </w:tc>
      </w:tr>
      <w:tr>
        <w:tc>
          <w:tcPr>
            <w:tcW w:type="dxa" w:w="2882"/>
          </w:tcPr>
          <w:p>
            <w:r>
              <w:t>0004</w:t>
            </w:r>
          </w:p>
        </w:tc>
        <w:tc>
          <w:tcPr>
            <w:tcW w:type="dxa" w:w="2882"/>
          </w:tcPr>
          <w:p>
            <w:r>
              <w:t>消息中间件</w:t>
            </w:r>
          </w:p>
        </w:tc>
        <w:tc>
          <w:tcPr>
            <w:tcW w:type="dxa" w:w="2882"/>
          </w:tcPr>
          <w:p>
            <w:r>
              <w:t>采用事件总线解耦通知、推荐与审计</w:t>
            </w:r>
          </w:p>
        </w:tc>
      </w:tr>
      <w:tr>
        <w:tc>
          <w:tcPr>
            <w:tcW w:type="dxa" w:w="2882"/>
          </w:tcPr>
          <w:p>
            <w:r>
              <w:t>0005</w:t>
            </w:r>
          </w:p>
        </w:tc>
        <w:tc>
          <w:tcPr>
            <w:tcW w:type="dxa" w:w="2882"/>
          </w:tcPr>
          <w:p>
            <w:r>
              <w:t>API 风格</w:t>
            </w:r>
          </w:p>
        </w:tc>
        <w:tc>
          <w:tcPr>
            <w:tcW w:type="dxa" w:w="2882"/>
          </w:tcPr>
          <w:p>
            <w:r>
              <w:t>对外接口采用 REST + OpenAPI 3.0</w:t>
            </w:r>
          </w:p>
        </w:tc>
      </w:tr>
      <w:tr>
        <w:tc>
          <w:tcPr>
            <w:tcW w:type="dxa" w:w="2882"/>
          </w:tcPr>
          <w:p>
            <w:r>
              <w:t>0006</w:t>
            </w:r>
          </w:p>
        </w:tc>
        <w:tc>
          <w:tcPr>
            <w:tcW w:type="dxa" w:w="2882"/>
          </w:tcPr>
          <w:p>
            <w:r>
              <w:t>鉴权方案</w:t>
            </w:r>
          </w:p>
        </w:tc>
        <w:tc>
          <w:tcPr>
            <w:tcW w:type="dxa" w:w="2882"/>
          </w:tcPr>
          <w:p>
            <w:r>
              <w:t>采用 JWT + RBAC + Tenant Header 的组合鉴权</w:t>
            </w:r>
          </w:p>
        </w:tc>
      </w:tr>
      <w:tr>
        <w:tc>
          <w:tcPr>
            <w:tcW w:type="dxa" w:w="2882"/>
          </w:tcPr>
          <w:p>
            <w:r>
              <w:t>0007</w:t>
            </w:r>
          </w:p>
        </w:tc>
        <w:tc>
          <w:tcPr>
            <w:tcW w:type="dxa" w:w="2882"/>
          </w:tcPr>
          <w:p>
            <w:r>
              <w:t>跨境数据同步策略</w:t>
            </w:r>
          </w:p>
        </w:tc>
        <w:tc>
          <w:tcPr>
            <w:tcW w:type="dxa" w:w="2882"/>
          </w:tcPr>
          <w:p>
            <w:r>
              <w:t>敏感字段最小化同步并为高合规租户预留 Schema 隔离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《软件工程》实验报告 — NekoCafé 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