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架构演进路线图（12 个月）</w:t>
      </w:r>
    </w:p>
    <w:p>
      <w:pPr>
        <w:jc w:val="center"/>
      </w:pPr>
      <w:r>
        <w:t>D2-8 Architecture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实验二 软件架构设计与微服务拆分实践</w:t>
            </w:r>
          </w:p>
        </w:tc>
      </w:tr>
      <w:tr>
        <w:tc>
          <w:tcPr>
            <w:tcW w:type="dxa" w:w="4323"/>
            <w:vAlign w:val="center"/>
          </w:tcPr>
          <w:p>
            <w:r>
              <w:t>产出编号</w:t>
            </w:r>
          </w:p>
        </w:tc>
        <w:tc>
          <w:tcPr>
            <w:tcW w:type="dxa" w:w="4323"/>
            <w:vAlign w:val="center"/>
          </w:tcPr>
          <w:p>
            <w:r>
              <w:t>D2-8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现状评估</w:t>
      </w:r>
    </w:p>
    <w:p>
      <w:pPr>
        <w:pStyle w:val="ListBullet"/>
      </w:pPr>
      <w:r>
        <w:t>实验二已完成 QAS、DDD、ATAM、C4、OpenAPI 和 ER 的架构表达。</w:t>
      </w:r>
    </w:p>
    <w:p>
      <w:pPr>
        <w:pStyle w:val="ListBullet"/>
      </w:pPr>
      <w:r>
        <w:t>可运行代码骨架当前仅覆盖 member-service 与 reservation-service 的最小应用入口。</w:t>
      </w:r>
    </w:p>
    <w:p>
      <w:pPr>
        <w:pStyle w:val="ListBullet"/>
      </w:pPr>
      <w:r>
        <w:t>实验三与实验四仍需继续补 DevOps、部署、测试与审查闭环。</w:t>
      </w:r>
    </w:p>
    <w:p>
      <w:pPr>
        <w:pStyle w:val="Heading1"/>
      </w:pPr>
      <w:r>
        <w:t>2 目标态描述</w:t>
      </w:r>
    </w:p>
    <w:p>
      <w:pPr>
        <w:pStyle w:val="ListBullet"/>
      </w:pPr>
      <w:r>
        <w:t>12 个月内形成支持高峰预约、可观测、可回滚、具备多租户扩展能力的 NekoCafé 平台架构。</w:t>
      </w:r>
    </w:p>
    <w:p>
      <w:pPr>
        <w:pStyle w:val="ListBullet"/>
      </w:pPr>
      <w:r>
        <w:t>核心双服务稳定上线，扩展服务通过事件总线逐步接入，跨境与合规策略具备可执行方案。</w:t>
      </w:r>
    </w:p>
    <w:p>
      <w:pPr>
        <w:pStyle w:val="Heading1"/>
      </w:pPr>
      <w:r>
        <w:t>3 阶段规划</w:t>
      </w:r>
    </w:p>
    <w:p>
      <w:pPr>
        <w:pStyle w:val="Heading2"/>
      </w:pPr>
      <w:r>
        <w:t>M1（第 1-3 月）：核心服务上线</w:t>
      </w:r>
    </w:p>
    <w:p>
      <w:r>
        <w:t>完成 member-service 与 reservation-service 的容器化、CI/CD 与基础观测能力。</w:t>
      </w:r>
    </w:p>
    <w:p>
      <w:pPr>
        <w:pStyle w:val="Heading3"/>
      </w:pPr>
      <w:r>
        <w:t>关键交付物：</w:t>
      </w:r>
    </w:p>
    <w:p>
      <w:pPr>
        <w:pStyle w:val="ListBullet"/>
      </w:pPr>
      <w:r>
        <w:t>双核心服务容器镜像与 compose 部署</w:t>
      </w:r>
    </w:p>
    <w:p>
      <w:pPr>
        <w:pStyle w:val="ListBullet"/>
      </w:pPr>
      <w:r>
        <w:t>基础监控、日志和接口联调脚本</w:t>
      </w:r>
    </w:p>
    <w:p>
      <w:pPr>
        <w:pStyle w:val="ListBullet"/>
      </w:pPr>
      <w:r>
        <w:t>预约主链路的基本单测与集成验证</w:t>
      </w:r>
    </w:p>
    <w:p>
      <w:pPr>
        <w:pStyle w:val="Heading3"/>
      </w:pPr>
      <w:r>
        <w:t>成功的样子（Definition of Success）：</w:t>
      </w:r>
    </w:p>
    <w:p>
      <w:r>
        <w:t>预约主链路在测试环境可稳定运行，核心接口通过自动化校验，故障可通过日志和监控快速定位。</w:t>
      </w:r>
    </w:p>
    <w:p>
      <w:pPr>
        <w:pStyle w:val="Heading2"/>
      </w:pPr>
      <w:r>
        <w:t>M2（第 4-6 月）：AI 推荐接入</w:t>
      </w:r>
    </w:p>
    <w:p>
      <w:r>
        <w:t>引入 recommendation-service、通知异步链路和推荐解释能力。</w:t>
      </w:r>
    </w:p>
    <w:p>
      <w:pPr>
        <w:pStyle w:val="Heading3"/>
      </w:pPr>
      <w:r>
        <w:t>关键交付物：</w:t>
      </w:r>
    </w:p>
    <w:p>
      <w:pPr>
        <w:pStyle w:val="ListBullet"/>
      </w:pPr>
      <w:r>
        <w:t>推荐域事件消费者与解释字段输出</w:t>
      </w:r>
    </w:p>
    <w:p>
      <w:pPr>
        <w:pStyle w:val="ListBullet"/>
      </w:pPr>
      <w:r>
        <w:t>通知 worker 与消息重试策略</w:t>
      </w:r>
    </w:p>
    <w:p>
      <w:pPr>
        <w:pStyle w:val="ListBullet"/>
      </w:pPr>
      <w:r>
        <w:t>推荐结果与预约流程的联动验证</w:t>
      </w:r>
    </w:p>
    <w:p>
      <w:pPr>
        <w:pStyle w:val="Heading3"/>
      </w:pPr>
      <w:r>
        <w:t>成功的样子（Definition of Success）：</w:t>
      </w:r>
    </w:p>
    <w:p>
      <w:r>
        <w:t>顾客可在预约流程中看到可解释推荐，推荐与通知不阻塞预约主链路。</w:t>
      </w:r>
    </w:p>
    <w:p>
      <w:pPr>
        <w:pStyle w:val="Heading2"/>
      </w:pPr>
      <w:r>
        <w:t>M3（第 7-12 月）：跨境与多租户</w:t>
      </w:r>
    </w:p>
    <w:p>
      <w:r>
        <w:t>完成合规字段治理、多租户隔离增强和跨境同步策略试运行。</w:t>
      </w:r>
    </w:p>
    <w:p>
      <w:pPr>
        <w:pStyle w:val="Heading3"/>
      </w:pPr>
      <w:r>
        <w:t>关键交付物：</w:t>
      </w:r>
    </w:p>
    <w:p>
      <w:pPr>
        <w:pStyle w:val="ListBullet"/>
      </w:pPr>
      <w:r>
        <w:t>高合规租户 Schema 隔离试点</w:t>
      </w:r>
    </w:p>
    <w:p>
      <w:pPr>
        <w:pStyle w:val="ListBullet"/>
      </w:pPr>
      <w:r>
        <w:t>跨境字段最小化同步清单与审计追踪</w:t>
      </w:r>
    </w:p>
    <w:p>
      <w:pPr>
        <w:pStyle w:val="ListBullet"/>
      </w:pPr>
      <w:r>
        <w:t>门店扩张和多租户接入手册</w:t>
      </w:r>
    </w:p>
    <w:p>
      <w:pPr>
        <w:pStyle w:val="Heading3"/>
      </w:pPr>
      <w:r>
        <w:t>成功的样子（Definition of Success）：</w:t>
      </w:r>
    </w:p>
    <w:p>
      <w:r>
        <w:t>新租户可按标准流程接入，跨境字段同步可审计，高合规租户具备隔离升级路径。</w:t>
      </w:r>
    </w:p>
    <w:p>
      <w:pPr>
        <w:pStyle w:val="Heading1"/>
      </w:pPr>
      <w:r>
        <w:t>4 风险登记册</w:t>
      </w:r>
    </w:p>
    <w:p>
      <w:pPr>
        <w:jc w:val="left"/>
      </w:pPr>
      <w:r>
        <w:rPr>
          <w:b/>
        </w:rPr>
        <w:t>表 4-1 风险登记册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风险</w:t>
            </w:r>
          </w:p>
        </w:tc>
        <w:tc>
          <w:tcPr>
            <w:tcW w:type="dxa" w:w="2882"/>
          </w:tcPr>
          <w:p>
            <w:r>
              <w:t>影响</w:t>
            </w:r>
          </w:p>
        </w:tc>
        <w:tc>
          <w:tcPr>
            <w:tcW w:type="dxa" w:w="2882"/>
          </w:tcPr>
          <w:p>
            <w:r>
              <w:t>缓解策略</w:t>
            </w:r>
          </w:p>
        </w:tc>
      </w:tr>
      <w:tr>
        <w:tc>
          <w:tcPr>
            <w:tcW w:type="dxa" w:w="2882"/>
          </w:tcPr>
          <w:p>
            <w:r>
              <w:t>服务边界过度设计</w:t>
            </w:r>
          </w:p>
        </w:tc>
        <w:tc>
          <w:tcPr>
            <w:tcW w:type="dxa" w:w="2882"/>
          </w:tcPr>
          <w:p>
            <w:r>
              <w:t>实验三实现范围失控</w:t>
            </w:r>
          </w:p>
        </w:tc>
        <w:tc>
          <w:tcPr>
            <w:tcW w:type="dxa" w:w="2882"/>
          </w:tcPr>
          <w:p>
            <w:r>
              <w:t>坚持双核心服务先落地，并用 ADR 固定边界</w:t>
            </w:r>
          </w:p>
        </w:tc>
      </w:tr>
      <w:tr>
        <w:tc>
          <w:tcPr>
            <w:tcW w:type="dxa" w:w="2882"/>
          </w:tcPr>
          <w:p>
            <w:r>
              <w:t>消息链路缺乏幂等</w:t>
            </w:r>
          </w:p>
        </w:tc>
        <w:tc>
          <w:tcPr>
            <w:tcW w:type="dxa" w:w="2882"/>
          </w:tcPr>
          <w:p>
            <w:r>
              <w:t>通知与推荐重复消费</w:t>
            </w:r>
          </w:p>
        </w:tc>
        <w:tc>
          <w:tcPr>
            <w:tcW w:type="dxa" w:w="2882"/>
          </w:tcPr>
          <w:p>
            <w:r>
              <w:t>在 M2 前补事件幂等键与重试策略</w:t>
            </w:r>
          </w:p>
        </w:tc>
      </w:tr>
      <w:tr>
        <w:tc>
          <w:tcPr>
            <w:tcW w:type="dxa" w:w="2882"/>
          </w:tcPr>
          <w:p>
            <w:r>
              <w:t>合规字段治理不足</w:t>
            </w:r>
          </w:p>
        </w:tc>
        <w:tc>
          <w:tcPr>
            <w:tcW w:type="dxa" w:w="2882"/>
          </w:tcPr>
          <w:p>
            <w:r>
              <w:t>跨境同步存在数据暴露风险</w:t>
            </w:r>
          </w:p>
        </w:tc>
        <w:tc>
          <w:tcPr>
            <w:tcW w:type="dxa" w:w="2882"/>
          </w:tcPr>
          <w:p>
            <w:r>
              <w:t>以 [GDPR] 字段清单驱动最小化同步和审计</w:t>
            </w:r>
          </w:p>
        </w:tc>
      </w:tr>
    </w:tbl>
    <w:p>
      <w:pPr>
        <w:pStyle w:val="Heading1"/>
      </w:pPr>
      <w:r>
        <w:t>5 退出与回滚策略</w:t>
      </w:r>
    </w:p>
    <w:p>
      <w:pPr>
        <w:pStyle w:val="ListBullet"/>
      </w:pPr>
      <w:r>
        <w:t>M1 若核心服务不稳定，可回退到单机测试环境并关闭异步消费者。</w:t>
      </w:r>
    </w:p>
    <w:p>
      <w:pPr>
        <w:pStyle w:val="ListBullet"/>
      </w:pPr>
      <w:r>
        <w:t>M2 若推荐链路影响预约响应，可暂时关闭 recommendation-service，只保留基础预约流程。</w:t>
      </w:r>
    </w:p>
    <w:p>
      <w:pPr>
        <w:pStyle w:val="ListBullet"/>
      </w:pPr>
      <w:r>
        <w:t>M3 若高合规租户隔离方案带来迁移风险，可先停留在行级隔离并仅上线字段最小化同步。</w:t>
      </w:r>
    </w:p>
    <w:p>
      <w:pPr>
        <w:pStyle w:val="Heading1"/>
      </w:pPr>
      <w:r>
        <w:t>6 参考文献</w:t>
      </w:r>
    </w:p>
    <w:p>
      <w:r>
        <w:t>[1] Bass L., Clements P., Kazman R. Software Architecture in Practice (4th Ed.). Addison-Wesley, 2021.</w:t>
      </w:r>
    </w:p>
    <w:p>
      <w:r>
        <w:t>[2] Evans E. Domain-Driven Design. Addison-Wesley, 2003.</w:t>
      </w:r>
    </w:p>
    <w:p>
      <w:r>
        <w:t>[3] Vernon V. Implementing Domain-Driven Design. Addison-Wesley, 2013.</w:t>
      </w:r>
    </w:p>
    <w:p>
      <w:r>
        <w:t>[4] Brown S. The C4 Model for Visualising Software Architecture. https://c4model.com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