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OpenAPI 契约文档 README</w:t>
      </w:r>
    </w:p>
    <w:p>
      <w:pPr>
        <w:jc w:val="center"/>
      </w:pPr>
      <w:r>
        <w:t>D2-5 OpenAPI Contracts README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D2-5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本目录用途</w:t>
      </w:r>
    </w:p>
    <w:p>
      <w:r>
        <w:t>本目录存放桌位预约服务与会员服务的 OpenAPI 3.0 契约、通用错误码、示例载荷和契约概览图。考虑到当前环境缺少 swagger-cli，本批次采用 JSON 兼容 YAML 形式写入 .yaml 文件，并通过结构化检查保证关键段落完整。</w:t>
      </w:r>
    </w:p>
    <w:p>
      <w:pPr>
        <w:pStyle w:val="Heading1"/>
      </w:pPr>
      <w:r>
        <w:t>2 文件结构</w:t>
      </w:r>
    </w:p>
    <w:p>
      <w:pPr>
        <w:jc w:val="left"/>
      </w:pPr>
      <w:r>
        <w:rPr>
          <w:b/>
        </w:rPr>
        <w:t>表 2-1 D2-5 文件结构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路径</w:t>
            </w:r>
          </w:p>
        </w:tc>
        <w:tc>
          <w:tcPr>
            <w:tcW w:type="dxa" w:w="2882"/>
          </w:tcPr>
          <w:p>
            <w:r>
              <w:t>内容</w:t>
            </w:r>
          </w:p>
        </w:tc>
        <w:tc>
          <w:tcPr>
            <w:tcW w:type="dxa" w:w="2882"/>
          </w:tcPr>
          <w:p>
            <w:r>
              <w:t>备注</w:t>
            </w:r>
          </w:p>
        </w:tc>
      </w:tr>
      <w:tr>
        <w:tc>
          <w:tcPr>
            <w:tcW w:type="dxa" w:w="2882"/>
          </w:tcPr>
          <w:p>
            <w:r>
              <w:t>member-service.yaml</w:t>
            </w:r>
          </w:p>
        </w:tc>
        <w:tc>
          <w:tcPr>
            <w:tcW w:type="dxa" w:w="2882"/>
          </w:tcPr>
          <w:p>
            <w:r>
              <w:t>会员服务主契约</w:t>
            </w:r>
          </w:p>
        </w:tc>
        <w:tc>
          <w:tcPr>
            <w:tcW w:type="dxa" w:w="2882"/>
          </w:tcPr>
          <w:p>
            <w:r>
              <w:t>包含 info.description、servers、securitySchemes、responses</w:t>
            </w:r>
          </w:p>
        </w:tc>
      </w:tr>
      <w:tr>
        <w:tc>
          <w:tcPr>
            <w:tcW w:type="dxa" w:w="2882"/>
          </w:tcPr>
          <w:p>
            <w:r>
              <w:t>reservation-service.yaml</w:t>
            </w:r>
          </w:p>
        </w:tc>
        <w:tc>
          <w:tcPr>
            <w:tcW w:type="dxa" w:w="2882"/>
          </w:tcPr>
          <w:p>
            <w:r>
              <w:t>预约服务主契约</w:t>
            </w:r>
          </w:p>
        </w:tc>
        <w:tc>
          <w:tcPr>
            <w:tcW w:type="dxa" w:w="2882"/>
          </w:tcPr>
          <w:p>
            <w:r>
              <w:t>包含限流扩展、错误码与双核心服务接口</w:t>
            </w:r>
          </w:p>
        </w:tc>
      </w:tr>
      <w:tr>
        <w:tc>
          <w:tcPr>
            <w:tcW w:type="dxa" w:w="2882"/>
          </w:tcPr>
          <w:p>
            <w:r>
              <w:t>common/error-codes.json</w:t>
            </w:r>
          </w:p>
        </w:tc>
        <w:tc>
          <w:tcPr>
            <w:tcW w:type="dxa" w:w="2882"/>
          </w:tcPr>
          <w:p>
            <w:r>
              <w:t>通用错误码字典</w:t>
            </w:r>
          </w:p>
        </w:tc>
        <w:tc>
          <w:tcPr>
            <w:tcW w:type="dxa" w:w="2882"/>
          </w:tcPr>
          <w:p>
            <w:r>
              <w:t>便于实验三和实验四复用</w:t>
            </w:r>
          </w:p>
        </w:tc>
      </w:tr>
      <w:tr>
        <w:tc>
          <w:tcPr>
            <w:tcW w:type="dxa" w:w="2882"/>
          </w:tcPr>
          <w:p>
            <w:r>
              <w:t>examples/*.json</w:t>
            </w:r>
          </w:p>
        </w:tc>
        <w:tc>
          <w:tcPr>
            <w:tcW w:type="dxa" w:w="2882"/>
          </w:tcPr>
          <w:p>
            <w:r>
              <w:t>请求示例</w:t>
            </w:r>
          </w:p>
        </w:tc>
        <w:tc>
          <w:tcPr>
            <w:tcW w:type="dxa" w:w="2882"/>
          </w:tcPr>
          <w:p>
            <w:r>
              <w:t>可直接作为联调输入</w:t>
            </w:r>
          </w:p>
        </w:tc>
      </w:tr>
      <w:tr>
        <w:tc>
          <w:tcPr>
            <w:tcW w:type="dxa" w:w="2882"/>
          </w:tcPr>
          <w:p>
            <w:r>
              <w:t>screenshots/*.png</w:t>
            </w:r>
          </w:p>
        </w:tc>
        <w:tc>
          <w:tcPr>
            <w:tcW w:type="dxa" w:w="2882"/>
          </w:tcPr>
          <w:p>
            <w:r>
              <w:t>契约概览图</w:t>
            </w:r>
          </w:p>
        </w:tc>
        <w:tc>
          <w:tcPr>
            <w:tcW w:type="dxa" w:w="2882"/>
          </w:tcPr>
          <w:p>
            <w:r>
              <w:t>本批次用作 Swagger UI 预览占位</w:t>
            </w:r>
          </w:p>
        </w:tc>
      </w:tr>
    </w:tbl>
    <w:p>
      <w:pPr>
        <w:pStyle w:val="Heading1"/>
      </w:pPr>
      <w:r>
        <w:t>3 契约红线</w:t>
      </w:r>
    </w:p>
    <w:p>
      <w:pPr>
        <w:pStyle w:val="ListBullet"/>
      </w:pPr>
      <w:r>
        <w:t>所有接口均带版本化 path 前缀和 servers 根地址，便于后续灰度与多环境发布。</w:t>
      </w:r>
    </w:p>
    <w:p>
      <w:pPr>
        <w:pStyle w:val="ListBullet"/>
      </w:pPr>
      <w:r>
        <w:t>所有核心操作均声明 bearerAuth 与 X-Tenant-Id，用于表达鉴权和租户隔离。</w:t>
      </w:r>
    </w:p>
    <w:p>
      <w:pPr>
        <w:pStyle w:val="ListBullet"/>
      </w:pPr>
      <w:r>
        <w:t>所有操作至少带一个 x-ratelimit-* 扩展，保证限流策略可审阅。</w:t>
      </w:r>
    </w:p>
    <w:p>
      <w:pPr>
        <w:pStyle w:val="ListBullet"/>
      </w:pPr>
      <w:r>
        <w:t>所有错误响应统一回落到 components.responses，避免实验三接口各自发散。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