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40"/>
        </w:rPr>
        <w:t>质量属性场景与效用树</w:t>
      </w:r>
    </w:p>
    <w:p>
      <w:pPr>
        <w:jc w:val="center"/>
      </w:pPr>
      <w:r>
        <w:t>D2-1 Quality Attribute Scenarios &amp; Utility Tree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vAlign w:val="center"/>
          </w:tcPr>
          <w:p>
            <w:r>
              <w:t>课程 / 实验</w:t>
            </w:r>
          </w:p>
        </w:tc>
        <w:tc>
          <w:tcPr>
            <w:tcW w:type="dxa" w:w="4323"/>
            <w:vAlign w:val="center"/>
          </w:tcPr>
          <w:p>
            <w:r>
              <w:t>软件工程 / 实验二 软件架构设计与微服务拆分实践</w:t>
            </w:r>
          </w:p>
        </w:tc>
      </w:tr>
      <w:tr>
        <w:tc>
          <w:tcPr>
            <w:tcW w:type="dxa" w:w="4323"/>
            <w:vAlign w:val="center"/>
          </w:tcPr>
          <w:p>
            <w:r>
              <w:t>产出编号</w:t>
            </w:r>
          </w:p>
        </w:tc>
        <w:tc>
          <w:tcPr>
            <w:tcW w:type="dxa" w:w="4323"/>
            <w:vAlign w:val="center"/>
          </w:tcPr>
          <w:p>
            <w:r>
              <w:t>D2-1</w:t>
            </w:r>
          </w:p>
        </w:tc>
      </w:tr>
      <w:tr>
        <w:tc>
          <w:tcPr>
            <w:tcW w:type="dxa" w:w="4323"/>
            <w:vAlign w:val="center"/>
          </w:tcPr>
          <w:p>
            <w:r>
              <w:t>班级 / 学号 / 姓名</w:t>
            </w:r>
          </w:p>
        </w:tc>
        <w:tc>
          <w:tcPr>
            <w:tcW w:type="dxa" w:w="4323"/>
            <w:vAlign w:val="center"/>
          </w:tcPr>
          <w:p>
            <w:r>
              <w:t>计算机23-2 / 231002208 / 戚晋瑜</w:t>
            </w:r>
          </w:p>
        </w:tc>
      </w:tr>
      <w:tr>
        <w:tc>
          <w:tcPr>
            <w:tcW w:type="dxa" w:w="4323"/>
            <w:vAlign w:val="center"/>
          </w:tcPr>
          <w:p>
            <w:r>
              <w:t>版本 / 日期</w:t>
            </w:r>
          </w:p>
        </w:tc>
        <w:tc>
          <w:tcPr>
            <w:tcW w:type="dxa" w:w="4323"/>
            <w:vAlign w:val="center"/>
          </w:tcPr>
          <w:p>
            <w:r>
              <w:t>v1.0 / 2026-05-07</w:t>
            </w:r>
          </w:p>
        </w:tc>
      </w:tr>
    </w:tbl>
    <w:p/>
    <w:p>
      <w:pPr>
        <w:pStyle w:val="Heading2"/>
      </w:pPr>
      <w:r>
        <w:t>学术诚信声明</w:t>
      </w:r>
    </w:p>
    <w:p>
      <w:r>
        <w:t>本人承诺所提交的实验材料系本人独立完成，对引用的他人成果均已明确标注。AI 生成内容均在附录中说明使用范围与提示词，并由本人完成复核与定稿。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797" w:bottom="1440" w:left="1797" w:header="720" w:footer="720" w:gutter="0"/>
          <w:cols w:space="720"/>
          <w:docGrid w:linePitch="360"/>
        </w:sectPr>
      </w:pPr>
    </w:p>
    <w:p>
      <w:pPr>
        <w:pStyle w:val="Heading1"/>
      </w:pPr>
      <w:r>
        <w:t>1 项目背景与架构驱动力</w:t>
      </w:r>
    </w:p>
    <w:p>
      <w:r>
        <w:t>本报告承接实验一需求基线，从 10 条非功能需求中提炼实验二的架构驱动力，重点回答高峰期 5000 QPS、零停机扩店与会员数据合规三类核心问题。</w:t>
      </w:r>
    </w:p>
    <w:p>
      <w:pPr>
        <w:pStyle w:val="ListBullet"/>
      </w:pPr>
      <w:r>
        <w:t>预约主链路需支撑 5000 QPS 且保持高可用</w:t>
      </w:r>
    </w:p>
    <w:p>
      <w:pPr>
        <w:pStyle w:val="ListBullet"/>
      </w:pPr>
      <w:r>
        <w:t>新增门店上线必须尽量通过配置完成，避免停机</w:t>
      </w:r>
    </w:p>
    <w:p>
      <w:pPr>
        <w:pStyle w:val="ListBullet"/>
      </w:pPr>
      <w:r>
        <w:t>会员与运营敏感数据要满足合规、脱敏和审计要求</w:t>
      </w:r>
    </w:p>
    <w:p>
      <w:pPr>
        <w:pStyle w:val="ListBullet"/>
      </w:pPr>
      <w:r>
        <w:t>实验三只优先落地 member-service 与 reservation-service</w:t>
      </w:r>
    </w:p>
    <w:p>
      <w:pPr>
        <w:pStyle w:val="Heading1"/>
      </w:pPr>
      <w:r>
        <w:t>2 效用树</w:t>
      </w:r>
    </w:p>
    <w:p>
      <w:pPr>
        <w:jc w:val="left"/>
      </w:pPr>
      <w:r>
        <w:rPr>
          <w:b/>
        </w:rPr>
        <w:t>表 2-1 效用树根节点与优先级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t>根节点</w:t>
            </w:r>
          </w:p>
        </w:tc>
        <w:tc>
          <w:tcPr>
            <w:tcW w:type="dxa" w:w="2161"/>
          </w:tcPr>
          <w:p>
            <w:r>
              <w:t>二级维度</w:t>
            </w:r>
          </w:p>
        </w:tc>
        <w:tc>
          <w:tcPr>
            <w:tcW w:type="dxa" w:w="2161"/>
          </w:tcPr>
          <w:p>
            <w:r>
              <w:t>叶子节点(QAS)</w:t>
            </w:r>
          </w:p>
        </w:tc>
        <w:tc>
          <w:tcPr>
            <w:tcW w:type="dxa" w:w="2161"/>
          </w:tcPr>
          <w:p>
            <w:r>
              <w:t>优先级</w:t>
            </w:r>
          </w:p>
        </w:tc>
      </w:tr>
      <w:tr>
        <w:tc>
          <w:tcPr>
            <w:tcW w:type="dxa" w:w="2161"/>
          </w:tcPr>
          <w:p>
            <w:r>
              <w:t>业务目标</w:t>
            </w:r>
          </w:p>
        </w:tc>
        <w:tc>
          <w:tcPr>
            <w:tcW w:type="dxa" w:w="2161"/>
          </w:tcPr>
          <w:p>
            <w:r>
              <w:t>高峰期稳定预约</w:t>
            </w:r>
          </w:p>
        </w:tc>
        <w:tc>
          <w:tcPr>
            <w:tcW w:type="dxa" w:w="2161"/>
          </w:tcPr>
          <w:p>
            <w:r>
              <w:t>QAS-001 / QAS-002</w:t>
            </w:r>
          </w:p>
        </w:tc>
        <w:tc>
          <w:tcPr>
            <w:tcW w:type="dxa" w:w="2161"/>
          </w:tcPr>
          <w:p>
            <w:r>
              <w:t>H</w:t>
            </w:r>
          </w:p>
        </w:tc>
      </w:tr>
      <w:tr>
        <w:tc>
          <w:tcPr>
            <w:tcW w:type="dxa" w:w="2161"/>
          </w:tcPr>
          <w:p>
            <w:r>
              <w:t>业务目标</w:t>
            </w:r>
          </w:p>
        </w:tc>
        <w:tc>
          <w:tcPr>
            <w:tcW w:type="dxa" w:w="2161"/>
          </w:tcPr>
          <w:p>
            <w:r>
              <w:t>合规会员运营</w:t>
            </w:r>
          </w:p>
        </w:tc>
        <w:tc>
          <w:tcPr>
            <w:tcW w:type="dxa" w:w="2161"/>
          </w:tcPr>
          <w:p>
            <w:r>
              <w:t>QAS-003 / QAS-007</w:t>
            </w:r>
          </w:p>
        </w:tc>
        <w:tc>
          <w:tcPr>
            <w:tcW w:type="dxa" w:w="2161"/>
          </w:tcPr>
          <w:p>
            <w:r>
              <w:t>H</w:t>
            </w:r>
          </w:p>
        </w:tc>
      </w:tr>
      <w:tr>
        <w:tc>
          <w:tcPr>
            <w:tcW w:type="dxa" w:w="2161"/>
          </w:tcPr>
          <w:p>
            <w:r>
              <w:t>业务目标</w:t>
            </w:r>
          </w:p>
        </w:tc>
        <w:tc>
          <w:tcPr>
            <w:tcW w:type="dxa" w:w="2161"/>
          </w:tcPr>
          <w:p>
            <w:r>
              <w:t>新增门店快速复制</w:t>
            </w:r>
          </w:p>
        </w:tc>
        <w:tc>
          <w:tcPr>
            <w:tcW w:type="dxa" w:w="2161"/>
          </w:tcPr>
          <w:p>
            <w:r>
              <w:t>QAS-004 / QAS-008</w:t>
            </w:r>
          </w:p>
        </w:tc>
        <w:tc>
          <w:tcPr>
            <w:tcW w:type="dxa" w:w="2161"/>
          </w:tcPr>
          <w:p>
            <w:r>
              <w:t>H</w:t>
            </w:r>
          </w:p>
        </w:tc>
      </w:tr>
      <w:tr>
        <w:tc>
          <w:tcPr>
            <w:tcW w:type="dxa" w:w="2161"/>
          </w:tcPr>
          <w:p>
            <w:r>
              <w:t>业务目标</w:t>
            </w:r>
          </w:p>
        </w:tc>
        <w:tc>
          <w:tcPr>
            <w:tcW w:type="dxa" w:w="2161"/>
          </w:tcPr>
          <w:p>
            <w:r>
              <w:t>顾客体验稳定</w:t>
            </w:r>
          </w:p>
        </w:tc>
        <w:tc>
          <w:tcPr>
            <w:tcW w:type="dxa" w:w="2161"/>
          </w:tcPr>
          <w:p>
            <w:r>
              <w:t>QAS-005 / QAS-006</w:t>
            </w:r>
          </w:p>
        </w:tc>
        <w:tc>
          <w:tcPr>
            <w:tcW w:type="dxa" w:w="2161"/>
          </w:tcPr>
          <w:p>
            <w:r>
              <w:t>M</w:t>
            </w:r>
          </w:p>
        </w:tc>
      </w:tr>
      <w:tr>
        <w:tc>
          <w:tcPr>
            <w:tcW w:type="dxa" w:w="2161"/>
          </w:tcPr>
          <w:p>
            <w:r>
              <w:t>业务目标</w:t>
            </w:r>
          </w:p>
        </w:tc>
        <w:tc>
          <w:tcPr>
            <w:tcW w:type="dxa" w:w="2161"/>
          </w:tcPr>
          <w:p>
            <w:r>
              <w:t>推荐能力可解释</w:t>
            </w:r>
          </w:p>
        </w:tc>
        <w:tc>
          <w:tcPr>
            <w:tcW w:type="dxa" w:w="2161"/>
          </w:tcPr>
          <w:p>
            <w:r>
              <w:t>QAS-009</w:t>
            </w:r>
          </w:p>
        </w:tc>
        <w:tc>
          <w:tcPr>
            <w:tcW w:type="dxa" w:w="2161"/>
          </w:tcPr>
          <w:p>
            <w:r>
              <w:t>M</w:t>
            </w:r>
          </w:p>
        </w:tc>
      </w:tr>
      <w:tr>
        <w:tc>
          <w:tcPr>
            <w:tcW w:type="dxa" w:w="2161"/>
          </w:tcPr>
          <w:p>
            <w:r>
              <w:t>业务目标</w:t>
            </w:r>
          </w:p>
        </w:tc>
        <w:tc>
          <w:tcPr>
            <w:tcW w:type="dxa" w:w="2161"/>
          </w:tcPr>
          <w:p>
            <w:r>
              <w:t>门店操作高效</w:t>
            </w:r>
          </w:p>
        </w:tc>
        <w:tc>
          <w:tcPr>
            <w:tcW w:type="dxa" w:w="2161"/>
          </w:tcPr>
          <w:p>
            <w:r>
              <w:t>QAS-010</w:t>
            </w:r>
          </w:p>
        </w:tc>
        <w:tc>
          <w:tcPr>
            <w:tcW w:type="dxa" w:w="2161"/>
          </w:tcPr>
          <w:p>
            <w:r>
              <w:t>M</w:t>
            </w:r>
          </w:p>
        </w:tc>
      </w:tr>
    </w:tbl>
    <w:p>
      <w:pPr>
        <w:pStyle w:val="Heading1"/>
      </w:pPr>
      <w:r>
        <w:t>3 Top-10 QAS 详表</w:t>
      </w:r>
    </w:p>
    <w:p>
      <w:pPr>
        <w:jc w:val="left"/>
      </w:pPr>
      <w:r>
        <w:rPr>
          <w:b/>
        </w:rPr>
        <w:t>表 3-1 Top-10 质量属性场景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1"/>
        <w:gridCol w:w="961"/>
        <w:gridCol w:w="961"/>
        <w:gridCol w:w="961"/>
        <w:gridCol w:w="961"/>
        <w:gridCol w:w="961"/>
        <w:gridCol w:w="961"/>
        <w:gridCol w:w="961"/>
        <w:gridCol w:w="961"/>
      </w:tblGrid>
      <w:tr>
        <w:tc>
          <w:tcPr>
            <w:tcW w:type="dxa" w:w="961"/>
          </w:tcPr>
          <w:p>
            <w:r>
              <w:t>场景ID</w:t>
            </w:r>
          </w:p>
        </w:tc>
        <w:tc>
          <w:tcPr>
            <w:tcW w:type="dxa" w:w="961"/>
          </w:tcPr>
          <w:p>
            <w:r>
              <w:t>来源NFR</w:t>
            </w:r>
          </w:p>
        </w:tc>
        <w:tc>
          <w:tcPr>
            <w:tcW w:type="dxa" w:w="961"/>
          </w:tcPr>
          <w:p>
            <w:r>
              <w:t>刺激源</w:t>
            </w:r>
          </w:p>
        </w:tc>
        <w:tc>
          <w:tcPr>
            <w:tcW w:type="dxa" w:w="961"/>
          </w:tcPr>
          <w:p>
            <w:r>
              <w:t>刺激</w:t>
            </w:r>
          </w:p>
        </w:tc>
        <w:tc>
          <w:tcPr>
            <w:tcW w:type="dxa" w:w="961"/>
          </w:tcPr>
          <w:p>
            <w:r>
              <w:t>制品</w:t>
            </w:r>
          </w:p>
        </w:tc>
        <w:tc>
          <w:tcPr>
            <w:tcW w:type="dxa" w:w="961"/>
          </w:tcPr>
          <w:p>
            <w:r>
              <w:t>环境</w:t>
            </w:r>
          </w:p>
        </w:tc>
        <w:tc>
          <w:tcPr>
            <w:tcW w:type="dxa" w:w="961"/>
          </w:tcPr>
          <w:p>
            <w:r>
              <w:t>响应</w:t>
            </w:r>
          </w:p>
        </w:tc>
        <w:tc>
          <w:tcPr>
            <w:tcW w:type="dxa" w:w="961"/>
          </w:tcPr>
          <w:p>
            <w:r>
              <w:t>响应度量</w:t>
            </w:r>
          </w:p>
        </w:tc>
        <w:tc>
          <w:tcPr>
            <w:tcW w:type="dxa" w:w="961"/>
          </w:tcPr>
          <w:p>
            <w:r>
              <w:t>优先级</w:t>
            </w:r>
          </w:p>
        </w:tc>
      </w:tr>
      <w:tr>
        <w:tc>
          <w:tcPr>
            <w:tcW w:type="dxa" w:w="961"/>
          </w:tcPr>
          <w:p>
            <w:r>
              <w:t>QAS-001</w:t>
            </w:r>
          </w:p>
        </w:tc>
        <w:tc>
          <w:tcPr>
            <w:tcW w:type="dxa" w:w="961"/>
          </w:tcPr>
          <w:p>
            <w:r>
              <w:t>NFR-001</w:t>
            </w:r>
          </w:p>
        </w:tc>
        <w:tc>
          <w:tcPr>
            <w:tcW w:type="dxa" w:w="961"/>
          </w:tcPr>
          <w:p>
            <w:r>
              <w:t>高峰期顾客流量</w:t>
            </w:r>
          </w:p>
        </w:tc>
        <w:tc>
          <w:tcPr>
            <w:tcW w:type="dxa" w:w="961"/>
          </w:tcPr>
          <w:p>
            <w:r>
              <w:t>午晚餐高峰同时发起预约请求</w:t>
            </w:r>
          </w:p>
        </w:tc>
        <w:tc>
          <w:tcPr>
            <w:tcW w:type="dxa" w:w="961"/>
          </w:tcPr>
          <w:p>
            <w:r>
              <w:t>reservation-service</w:t>
            </w:r>
          </w:p>
        </w:tc>
        <w:tc>
          <w:tcPr>
            <w:tcW w:type="dxa" w:w="961"/>
          </w:tcPr>
          <w:p>
            <w:r>
              <w:t>节假日高峰期，活动促销同时在线</w:t>
            </w:r>
          </w:p>
        </w:tc>
        <w:tc>
          <w:tcPr>
            <w:tcW w:type="dxa" w:w="961"/>
          </w:tcPr>
          <w:p>
            <w:r>
              <w:t>完成预约时段查询与预占校验，不阻塞其他核心链路</w:t>
            </w:r>
          </w:p>
        </w:tc>
        <w:tc>
          <w:tcPr>
            <w:tcW w:type="dxa" w:w="961"/>
          </w:tcPr>
          <w:p>
            <w:r>
              <w:t>5000 QPS 下 P95 &lt; 800ms，错误率 &lt; 1%</w:t>
            </w:r>
          </w:p>
        </w:tc>
        <w:tc>
          <w:tcPr>
            <w:tcW w:type="dxa" w:w="961"/>
          </w:tcPr>
          <w:p>
            <w:r>
              <w:t>H</w:t>
            </w:r>
          </w:p>
        </w:tc>
      </w:tr>
      <w:tr>
        <w:tc>
          <w:tcPr>
            <w:tcW w:type="dxa" w:w="961"/>
          </w:tcPr>
          <w:p>
            <w:r>
              <w:t>QAS-002</w:t>
            </w:r>
          </w:p>
        </w:tc>
        <w:tc>
          <w:tcPr>
            <w:tcW w:type="dxa" w:w="961"/>
          </w:tcPr>
          <w:p>
            <w:r>
              <w:t>NFR-002</w:t>
            </w:r>
          </w:p>
        </w:tc>
        <w:tc>
          <w:tcPr>
            <w:tcW w:type="dxa" w:w="961"/>
          </w:tcPr>
          <w:p>
            <w:r>
              <w:t>业务监控与顾客请求</w:t>
            </w:r>
          </w:p>
        </w:tc>
        <w:tc>
          <w:tcPr>
            <w:tcW w:type="dxa" w:w="961"/>
          </w:tcPr>
          <w:p>
            <w:r>
              <w:t>核心预约服务出现单点异常或瞬时抖动</w:t>
            </w:r>
          </w:p>
        </w:tc>
        <w:tc>
          <w:tcPr>
            <w:tcW w:type="dxa" w:w="961"/>
          </w:tcPr>
          <w:p>
            <w:r>
              <w:t>预约主链路</w:t>
            </w:r>
          </w:p>
        </w:tc>
        <w:tc>
          <w:tcPr>
            <w:tcW w:type="dxa" w:w="961"/>
          </w:tcPr>
          <w:p>
            <w:r>
              <w:t>门店正常营业时段</w:t>
            </w:r>
          </w:p>
        </w:tc>
        <w:tc>
          <w:tcPr>
            <w:tcW w:type="dxa" w:w="961"/>
          </w:tcPr>
          <w:p>
            <w:r>
              <w:t>系统自动隔离故障并维持关键预约能力可用</w:t>
            </w:r>
          </w:p>
        </w:tc>
        <w:tc>
          <w:tcPr>
            <w:tcW w:type="dxa" w:w="961"/>
          </w:tcPr>
          <w:p>
            <w:r>
              <w:t>月度 SLA &gt;= 99.9%，故障恢复时间 &lt; 10 分钟</w:t>
            </w:r>
          </w:p>
        </w:tc>
        <w:tc>
          <w:tcPr>
            <w:tcW w:type="dxa" w:w="961"/>
          </w:tcPr>
          <w:p>
            <w:r>
              <w:t>H</w:t>
            </w:r>
          </w:p>
        </w:tc>
      </w:tr>
      <w:tr>
        <w:tc>
          <w:tcPr>
            <w:tcW w:type="dxa" w:w="961"/>
          </w:tcPr>
          <w:p>
            <w:r>
              <w:t>QAS-003</w:t>
            </w:r>
          </w:p>
        </w:tc>
        <w:tc>
          <w:tcPr>
            <w:tcW w:type="dxa" w:w="961"/>
          </w:tcPr>
          <w:p>
            <w:r>
              <w:t>NFR-003</w:t>
            </w:r>
          </w:p>
        </w:tc>
        <w:tc>
          <w:tcPr>
            <w:tcW w:type="dxa" w:w="961"/>
          </w:tcPr>
          <w:p>
            <w:r>
              <w:t>监管要求与运营查询</w:t>
            </w:r>
          </w:p>
        </w:tc>
        <w:tc>
          <w:tcPr>
            <w:tcW w:type="dxa" w:w="961"/>
          </w:tcPr>
          <w:p>
            <w:r>
              <w:t>后台需要访问会员手机号与偏好等敏感信息</w:t>
            </w:r>
          </w:p>
        </w:tc>
        <w:tc>
          <w:tcPr>
            <w:tcW w:type="dxa" w:w="961"/>
          </w:tcPr>
          <w:p>
            <w:r>
              <w:t>member-service</w:t>
            </w:r>
          </w:p>
        </w:tc>
        <w:tc>
          <w:tcPr>
            <w:tcW w:type="dxa" w:w="961"/>
          </w:tcPr>
          <w:p>
            <w:r>
              <w:t>跨店运营与客服排障场景</w:t>
            </w:r>
          </w:p>
        </w:tc>
        <w:tc>
          <w:tcPr>
            <w:tcW w:type="dxa" w:w="961"/>
          </w:tcPr>
          <w:p>
            <w:r>
              <w:t>系统进行鉴权、脱敏与审计留痕</w:t>
            </w:r>
          </w:p>
        </w:tc>
        <w:tc>
          <w:tcPr>
            <w:tcW w:type="dxa" w:w="961"/>
          </w:tcPr>
          <w:p>
            <w:r>
              <w:t>所有敏感查询均具备 RBAC 校验与审计日志</w:t>
            </w:r>
          </w:p>
        </w:tc>
        <w:tc>
          <w:tcPr>
            <w:tcW w:type="dxa" w:w="961"/>
          </w:tcPr>
          <w:p>
            <w:r>
              <w:t>H</w:t>
            </w:r>
          </w:p>
        </w:tc>
      </w:tr>
      <w:tr>
        <w:tc>
          <w:tcPr>
            <w:tcW w:type="dxa" w:w="961"/>
          </w:tcPr>
          <w:p>
            <w:r>
              <w:t>QAS-004</w:t>
            </w:r>
          </w:p>
        </w:tc>
        <w:tc>
          <w:tcPr>
            <w:tcW w:type="dxa" w:w="961"/>
          </w:tcPr>
          <w:p>
            <w:r>
              <w:t>NFR-004</w:t>
            </w:r>
          </w:p>
        </w:tc>
        <w:tc>
          <w:tcPr>
            <w:tcW w:type="dxa" w:w="961"/>
          </w:tcPr>
          <w:p>
            <w:r>
              <w:t>总部运维团队</w:t>
            </w:r>
          </w:p>
        </w:tc>
        <w:tc>
          <w:tcPr>
            <w:tcW w:type="dxa" w:w="961"/>
          </w:tcPr>
          <w:p>
            <w:r>
              <w:t>新增门店需要在次日接入统一平台</w:t>
            </w:r>
          </w:p>
        </w:tc>
        <w:tc>
          <w:tcPr>
            <w:tcW w:type="dxa" w:w="961"/>
          </w:tcPr>
          <w:p>
            <w:r>
              <w:t>门店配置与部署体系</w:t>
            </w:r>
          </w:p>
        </w:tc>
        <w:tc>
          <w:tcPr>
            <w:tcW w:type="dxa" w:w="961"/>
          </w:tcPr>
          <w:p>
            <w:r>
              <w:t>不中断既有门店服务的上线窗口</w:t>
            </w:r>
          </w:p>
        </w:tc>
        <w:tc>
          <w:tcPr>
            <w:tcW w:type="dxa" w:w="961"/>
          </w:tcPr>
          <w:p>
            <w:r>
              <w:t>通过配置化与标准化部署快速接入新门店</w:t>
            </w:r>
          </w:p>
        </w:tc>
        <w:tc>
          <w:tcPr>
            <w:tcW w:type="dxa" w:w="961"/>
          </w:tcPr>
          <w:p>
            <w:r>
              <w:t>新增门店接入时间 &lt; 1 天，既有门店零停机</w:t>
            </w:r>
          </w:p>
        </w:tc>
        <w:tc>
          <w:tcPr>
            <w:tcW w:type="dxa" w:w="961"/>
          </w:tcPr>
          <w:p>
            <w:r>
              <w:t>H</w:t>
            </w:r>
          </w:p>
        </w:tc>
      </w:tr>
      <w:tr>
        <w:tc>
          <w:tcPr>
            <w:tcW w:type="dxa" w:w="961"/>
          </w:tcPr>
          <w:p>
            <w:r>
              <w:t>QAS-005</w:t>
            </w:r>
          </w:p>
        </w:tc>
        <w:tc>
          <w:tcPr>
            <w:tcW w:type="dxa" w:w="961"/>
          </w:tcPr>
          <w:p>
            <w:r>
              <w:t>NFR-005</w:t>
            </w:r>
          </w:p>
        </w:tc>
        <w:tc>
          <w:tcPr>
            <w:tcW w:type="dxa" w:w="961"/>
          </w:tcPr>
          <w:p>
            <w:r>
              <w:t>顾客</w:t>
            </w:r>
          </w:p>
        </w:tc>
        <w:tc>
          <w:tcPr>
            <w:tcW w:type="dxa" w:w="961"/>
          </w:tcPr>
          <w:p>
            <w:r>
              <w:t>首次使用顾客在移动端完成预约</w:t>
            </w:r>
          </w:p>
        </w:tc>
        <w:tc>
          <w:tcPr>
            <w:tcW w:type="dxa" w:w="961"/>
          </w:tcPr>
          <w:p>
            <w:r>
              <w:t>顾客端预约流程</w:t>
            </w:r>
          </w:p>
        </w:tc>
        <w:tc>
          <w:tcPr>
            <w:tcW w:type="dxa" w:w="961"/>
          </w:tcPr>
          <w:p>
            <w:r>
              <w:t>微信小程序与移动 Web</w:t>
            </w:r>
          </w:p>
        </w:tc>
        <w:tc>
          <w:tcPr>
            <w:tcW w:type="dxa" w:w="961"/>
          </w:tcPr>
          <w:p>
            <w:r>
              <w:t>系统在少量关键页面内完成预约并反馈结果</w:t>
            </w:r>
          </w:p>
        </w:tc>
        <w:tc>
          <w:tcPr>
            <w:tcW w:type="dxa" w:w="961"/>
          </w:tcPr>
          <w:p>
            <w:r>
              <w:t>主流程不超过 3 个关键操作页面</w:t>
            </w:r>
          </w:p>
        </w:tc>
        <w:tc>
          <w:tcPr>
            <w:tcW w:type="dxa" w:w="961"/>
          </w:tcPr>
          <w:p>
            <w:r>
              <w:t>M</w:t>
            </w:r>
          </w:p>
        </w:tc>
      </w:tr>
      <w:tr>
        <w:tc>
          <w:tcPr>
            <w:tcW w:type="dxa" w:w="961"/>
          </w:tcPr>
          <w:p>
            <w:r>
              <w:t>QAS-006</w:t>
            </w:r>
          </w:p>
        </w:tc>
        <w:tc>
          <w:tcPr>
            <w:tcW w:type="dxa" w:w="961"/>
          </w:tcPr>
          <w:p>
            <w:r>
              <w:t>NFR-006</w:t>
            </w:r>
          </w:p>
        </w:tc>
        <w:tc>
          <w:tcPr>
            <w:tcW w:type="dxa" w:w="961"/>
          </w:tcPr>
          <w:p>
            <w:r>
              <w:t>多终端顾客</w:t>
            </w:r>
          </w:p>
        </w:tc>
        <w:tc>
          <w:tcPr>
            <w:tcW w:type="dxa" w:w="961"/>
          </w:tcPr>
          <w:p>
            <w:r>
              <w:t>顾客从不同移动端入口访问平台</w:t>
            </w:r>
          </w:p>
        </w:tc>
        <w:tc>
          <w:tcPr>
            <w:tcW w:type="dxa" w:w="961"/>
          </w:tcPr>
          <w:p>
            <w:r>
              <w:t>顾客端界面与接口适配层</w:t>
            </w:r>
          </w:p>
        </w:tc>
        <w:tc>
          <w:tcPr>
            <w:tcW w:type="dxa" w:w="961"/>
          </w:tcPr>
          <w:p>
            <w:r>
              <w:t>iOS Safari、Android Chrome、微信小程序</w:t>
            </w:r>
          </w:p>
        </w:tc>
        <w:tc>
          <w:tcPr>
            <w:tcW w:type="dxa" w:w="961"/>
          </w:tcPr>
          <w:p>
            <w:r>
              <w:t>系统在三类终端上保持一致的关键能力和文案</w:t>
            </w:r>
          </w:p>
        </w:tc>
        <w:tc>
          <w:tcPr>
            <w:tcW w:type="dxa" w:w="961"/>
          </w:tcPr>
          <w:p>
            <w:r>
              <w:t>关键预约流程在三类终端通过验收</w:t>
            </w:r>
          </w:p>
        </w:tc>
        <w:tc>
          <w:tcPr>
            <w:tcW w:type="dxa" w:w="961"/>
          </w:tcPr>
          <w:p>
            <w:r>
              <w:t>M</w:t>
            </w:r>
          </w:p>
        </w:tc>
      </w:tr>
      <w:tr>
        <w:tc>
          <w:tcPr>
            <w:tcW w:type="dxa" w:w="961"/>
          </w:tcPr>
          <w:p>
            <w:r>
              <w:t>QAS-007</w:t>
            </w:r>
          </w:p>
        </w:tc>
        <w:tc>
          <w:tcPr>
            <w:tcW w:type="dxa" w:w="961"/>
          </w:tcPr>
          <w:p>
            <w:r>
              <w:t>NFR-007</w:t>
            </w:r>
          </w:p>
        </w:tc>
        <w:tc>
          <w:tcPr>
            <w:tcW w:type="dxa" w:w="961"/>
          </w:tcPr>
          <w:p>
            <w:r>
              <w:t>运营审计</w:t>
            </w:r>
          </w:p>
        </w:tc>
        <w:tc>
          <w:tcPr>
            <w:tcW w:type="dxa" w:w="961"/>
          </w:tcPr>
          <w:p>
            <w:r>
              <w:t>发生敏感运营操作争议或合规复核</w:t>
            </w:r>
          </w:p>
        </w:tc>
        <w:tc>
          <w:tcPr>
            <w:tcW w:type="dxa" w:w="961"/>
          </w:tcPr>
          <w:p>
            <w:r>
              <w:t>审计日志体系</w:t>
            </w:r>
          </w:p>
        </w:tc>
        <w:tc>
          <w:tcPr>
            <w:tcW w:type="dxa" w:w="961"/>
          </w:tcPr>
          <w:p>
            <w:r>
              <w:t>运营后台与客服后台</w:t>
            </w:r>
          </w:p>
        </w:tc>
        <w:tc>
          <w:tcPr>
            <w:tcW w:type="dxa" w:w="961"/>
          </w:tcPr>
          <w:p>
            <w:r>
              <w:t>系统能够检索关键操作人、时间、动作与结果</w:t>
            </w:r>
          </w:p>
        </w:tc>
        <w:tc>
          <w:tcPr>
            <w:tcW w:type="dxa" w:w="961"/>
          </w:tcPr>
          <w:p>
            <w:r>
              <w:t>审计日志保留 &gt;= 180 天，支持按门店/人员检索</w:t>
            </w:r>
          </w:p>
        </w:tc>
        <w:tc>
          <w:tcPr>
            <w:tcW w:type="dxa" w:w="961"/>
          </w:tcPr>
          <w:p>
            <w:r>
              <w:t>H</w:t>
            </w:r>
          </w:p>
        </w:tc>
      </w:tr>
      <w:tr>
        <w:tc>
          <w:tcPr>
            <w:tcW w:type="dxa" w:w="961"/>
          </w:tcPr>
          <w:p>
            <w:r>
              <w:t>QAS-008</w:t>
            </w:r>
          </w:p>
        </w:tc>
        <w:tc>
          <w:tcPr>
            <w:tcW w:type="dxa" w:w="961"/>
          </w:tcPr>
          <w:p>
            <w:r>
              <w:t>NFR-008</w:t>
            </w:r>
          </w:p>
        </w:tc>
        <w:tc>
          <w:tcPr>
            <w:tcW w:type="dxa" w:w="961"/>
          </w:tcPr>
          <w:p>
            <w:r>
              <w:t>交付与运维团队</w:t>
            </w:r>
          </w:p>
        </w:tc>
        <w:tc>
          <w:tcPr>
            <w:tcW w:type="dxa" w:w="961"/>
          </w:tcPr>
          <w:p>
            <w:r>
              <w:t>需要在统一运行环境中迁移或扩容核心服务</w:t>
            </w:r>
          </w:p>
        </w:tc>
        <w:tc>
          <w:tcPr>
            <w:tcW w:type="dxa" w:w="961"/>
          </w:tcPr>
          <w:p>
            <w:r>
              <w:t>核心服务运行环境</w:t>
            </w:r>
          </w:p>
        </w:tc>
        <w:tc>
          <w:tcPr>
            <w:tcW w:type="dxa" w:w="961"/>
          </w:tcPr>
          <w:p>
            <w:r>
              <w:t>容器化部署场景</w:t>
            </w:r>
          </w:p>
        </w:tc>
        <w:tc>
          <w:tcPr>
            <w:tcW w:type="dxa" w:w="961"/>
          </w:tcPr>
          <w:p>
            <w:r>
              <w:t>服务镜像化并支持标准化启动与扩缩容</w:t>
            </w:r>
          </w:p>
        </w:tc>
        <w:tc>
          <w:tcPr>
            <w:tcW w:type="dxa" w:w="961"/>
          </w:tcPr>
          <w:p>
            <w:r>
              <w:t>核心服务可在 Docker 环境稳定启动</w:t>
            </w:r>
          </w:p>
        </w:tc>
        <w:tc>
          <w:tcPr>
            <w:tcW w:type="dxa" w:w="961"/>
          </w:tcPr>
          <w:p>
            <w:r>
              <w:t>M</w:t>
            </w:r>
          </w:p>
        </w:tc>
      </w:tr>
      <w:tr>
        <w:tc>
          <w:tcPr>
            <w:tcW w:type="dxa" w:w="961"/>
          </w:tcPr>
          <w:p>
            <w:r>
              <w:t>QAS-009</w:t>
            </w:r>
          </w:p>
        </w:tc>
        <w:tc>
          <w:tcPr>
            <w:tcW w:type="dxa" w:w="961"/>
          </w:tcPr>
          <w:p>
            <w:r>
              <w:t>NFR-009</w:t>
            </w:r>
          </w:p>
        </w:tc>
        <w:tc>
          <w:tcPr>
            <w:tcW w:type="dxa" w:w="961"/>
          </w:tcPr>
          <w:p>
            <w:r>
              <w:t>顾客偏好与运营策略</w:t>
            </w:r>
          </w:p>
        </w:tc>
        <w:tc>
          <w:tcPr>
            <w:tcW w:type="dxa" w:w="961"/>
          </w:tcPr>
          <w:p>
            <w:r>
              <w:t>顾客请求推荐桌位与互动主题</w:t>
            </w:r>
          </w:p>
        </w:tc>
        <w:tc>
          <w:tcPr>
            <w:tcW w:type="dxa" w:w="961"/>
          </w:tcPr>
          <w:p>
            <w:r>
              <w:t>recommendation-service</w:t>
            </w:r>
          </w:p>
        </w:tc>
        <w:tc>
          <w:tcPr>
            <w:tcW w:type="dxa" w:w="961"/>
          </w:tcPr>
          <w:p>
            <w:r>
              <w:t>顾客提交偏好信息后</w:t>
            </w:r>
          </w:p>
        </w:tc>
        <w:tc>
          <w:tcPr>
            <w:tcW w:type="dxa" w:w="961"/>
          </w:tcPr>
          <w:p>
            <w:r>
              <w:t>系统返回可解释的推荐结果</w:t>
            </w:r>
          </w:p>
        </w:tc>
        <w:tc>
          <w:tcPr>
            <w:tcW w:type="dxa" w:w="961"/>
          </w:tcPr>
          <w:p>
            <w:r>
              <w:t>P95 推荐响应 &lt;= 2s，解释字段非空</w:t>
            </w:r>
          </w:p>
        </w:tc>
        <w:tc>
          <w:tcPr>
            <w:tcW w:type="dxa" w:w="961"/>
          </w:tcPr>
          <w:p>
            <w:r>
              <w:t>M</w:t>
            </w:r>
          </w:p>
        </w:tc>
      </w:tr>
      <w:tr>
        <w:tc>
          <w:tcPr>
            <w:tcW w:type="dxa" w:w="961"/>
          </w:tcPr>
          <w:p>
            <w:r>
              <w:t>QAS-010</w:t>
            </w:r>
          </w:p>
        </w:tc>
        <w:tc>
          <w:tcPr>
            <w:tcW w:type="dxa" w:w="961"/>
          </w:tcPr>
          <w:p>
            <w:r>
              <w:t>NFR-010</w:t>
            </w:r>
          </w:p>
        </w:tc>
        <w:tc>
          <w:tcPr>
            <w:tcW w:type="dxa" w:w="961"/>
          </w:tcPr>
          <w:p>
            <w:r>
              <w:t>店员</w:t>
            </w:r>
          </w:p>
        </w:tc>
        <w:tc>
          <w:tcPr>
            <w:tcW w:type="dxa" w:w="961"/>
          </w:tcPr>
          <w:p>
            <w:r>
              <w:t>高峰期需要快速识别异常预约和资源冲突</w:t>
            </w:r>
          </w:p>
        </w:tc>
        <w:tc>
          <w:tcPr>
            <w:tcW w:type="dxa" w:w="961"/>
          </w:tcPr>
          <w:p>
            <w:r>
              <w:t>店员后台</w:t>
            </w:r>
          </w:p>
        </w:tc>
        <w:tc>
          <w:tcPr>
            <w:tcW w:type="dxa" w:w="961"/>
          </w:tcPr>
          <w:p>
            <w:r>
              <w:t>门店营业高峰</w:t>
            </w:r>
          </w:p>
        </w:tc>
        <w:tc>
          <w:tcPr>
            <w:tcW w:type="dxa" w:w="961"/>
          </w:tcPr>
          <w:p>
            <w:r>
              <w:t>系统用显著状态与颜色提醒异常</w:t>
            </w:r>
          </w:p>
        </w:tc>
        <w:tc>
          <w:tcPr>
            <w:tcW w:type="dxa" w:w="961"/>
          </w:tcPr>
          <w:p>
            <w:r>
              <w:t>异常预约 1 秒内可识别</w:t>
            </w:r>
          </w:p>
        </w:tc>
        <w:tc>
          <w:tcPr>
            <w:tcW w:type="dxa" w:w="961"/>
          </w:tcPr>
          <w:p>
            <w:r>
              <w:t>M</w:t>
            </w:r>
          </w:p>
        </w:tc>
      </w:tr>
    </w:tbl>
    <w:p>
      <w:pPr>
        <w:pStyle w:val="Heading1"/>
      </w:pPr>
      <w:r>
        <w:t>4 架构关注点清单</w:t>
      </w:r>
    </w:p>
    <w:p>
      <w:pPr>
        <w:pStyle w:val="ListBullet"/>
      </w:pPr>
      <w:r>
        <w:t>预约主链路必须和通知、推荐等扩展能力解耦，避免非核心能力拖慢高峰期性能。</w:t>
      </w:r>
    </w:p>
    <w:p>
      <w:pPr>
        <w:pStyle w:val="ListBullet"/>
      </w:pPr>
      <w:r>
        <w:t>门店复制能力应优先通过配置、模板和部署标准化解决，而不是人为运维操作。</w:t>
      </w:r>
    </w:p>
    <w:p>
      <w:pPr>
        <w:pStyle w:val="ListBullet"/>
      </w:pPr>
      <w:r>
        <w:t>会员与运营敏感数据需要独立治理，保证权限控制、脱敏和审计链条清晰。</w:t>
      </w:r>
    </w:p>
    <w:p>
      <w:pPr>
        <w:pStyle w:val="ListBullet"/>
      </w:pPr>
      <w:r>
        <w:t>实验三只落地双核心服务，因此实验二结论必须兼顾“完整表达”与“可控实现”。</w:t>
      </w:r>
    </w:p>
    <w:p>
      <w:pPr>
        <w:pStyle w:val="Heading1"/>
      </w:pPr>
      <w:r>
        <w:t>5 优先级裁决结论</w:t>
      </w:r>
    </w:p>
    <w:p>
      <w:r>
        <w:t>本轮裁决结果将性能效率、可靠性、合规安全和零停机扩店列为最高优先级；顾客体验与推荐解释性作为第二层驱动。基于这一结论，实验二后续架构方案优先偏向微服务边界表达，但实验三只承诺先落地 member-service 与 reservation-service。</w:t>
      </w:r>
    </w:p>
    <w:p>
      <w:pPr>
        <w:pStyle w:val="Heading1"/>
      </w:pPr>
      <w:r>
        <w:t>6 参考文献</w:t>
      </w:r>
    </w:p>
    <w:p>
      <w:r>
        <w:t>[1] Bass L., Clements P., Kazman R. Software Architecture in Practice (4th Ed.). Addison-Wesley, 2021.</w:t>
      </w:r>
    </w:p>
    <w:p>
      <w:r>
        <w:t>[2] Evans E. Domain-Driven Design. Addison-Wesley, 2003.</w:t>
      </w:r>
    </w:p>
    <w:p>
      <w:r>
        <w:t>[3] Vernon V. Implementing Domain-Driven Design. Addison-Wesley, 2013.</w:t>
      </w:r>
    </w:p>
    <w:p>
      <w:r>
        <w:t>[4] Brown S. The C4 Model for Visualising Software Architecture. https://c4model.com</w:t>
      </w:r>
    </w:p>
    <w:p>
      <w:r>
        <w:t>[5] Nygard M. Documenting Architecture Decisions. https://cognitect.com/blog/2011/11/15/documenting-architecture-decisions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《软件工程》实验报告 — NekoCafé 项目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Times New Roman" w:hAnsi="Times New Roman" w:eastAsia="黑体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