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需求验证报告</w:t>
      </w:r>
    </w:p>
    <w:p>
      <w:pPr>
        <w:jc w:val="center"/>
      </w:pPr>
      <w:r>
        <w:t>D1-6 Validation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实验一 智能化需求工程与 UML 建模</w:t>
            </w:r>
          </w:p>
        </w:tc>
      </w:tr>
      <w:tr>
        <w:tc>
          <w:tcPr>
            <w:tcW w:type="dxa" w:w="4323"/>
            <w:vAlign w:val="center"/>
          </w:tcPr>
          <w:p>
            <w:r>
              <w:t>项目案例</w:t>
            </w:r>
          </w:p>
        </w:tc>
        <w:tc>
          <w:tcPr>
            <w:tcW w:type="dxa" w:w="4323"/>
            <w:vAlign w:val="center"/>
          </w:tcPr>
          <w:p>
            <w:r>
              <w:t>NekoCafé 猫咪主题餐饮预约平台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验证范围</w:t>
      </w:r>
    </w:p>
    <w:p>
      <w:r>
        <w:t>本次验证覆盖 D1-3 SRS 的全部章节，重点检查 30 条功能需求与 10 条非功能需求的完整性、一致性、可测试性与可追溯性。</w:t>
      </w:r>
    </w:p>
    <w:p>
      <w:pPr>
        <w:pStyle w:val="Heading1"/>
      </w:pPr>
      <w:r>
        <w:t>2 验证方法</w:t>
      </w:r>
    </w:p>
    <w:p>
      <w:pPr>
        <w:pStyle w:val="Heading2"/>
      </w:pPr>
      <w:r>
        <w:t>2.1 检查清单</w:t>
      </w:r>
    </w:p>
    <w:p>
      <w:pPr>
        <w:pStyle w:val="ListBullet"/>
      </w:pPr>
      <w:r>
        <w:t>每条功能需求均具备唯一 ID、来源、验收准则和状态。</w:t>
      </w:r>
    </w:p>
    <w:p>
      <w:pPr>
        <w:pStyle w:val="ListBullet"/>
      </w:pPr>
      <w:r>
        <w:t>SRS 中的术语均在 Glossary 中出现并保持一致。</w:t>
      </w:r>
    </w:p>
    <w:p>
      <w:pPr>
        <w:pStyle w:val="ListBullet"/>
      </w:pPr>
      <w:r>
        <w:t>关键 UML 图均能追溯到至少一条需求条目。</w:t>
      </w:r>
    </w:p>
    <w:p>
      <w:pPr>
        <w:pStyle w:val="ListBullet"/>
      </w:pPr>
      <w:r>
        <w:t>所有 Must 类需求都进入了基线并具备验证方式。</w:t>
      </w:r>
    </w:p>
    <w:p>
      <w:pPr>
        <w:pStyle w:val="ListBullet"/>
      </w:pPr>
      <w:r>
        <w:t>对 AI 生成内容均给出人工复核和修订说明。</w:t>
      </w:r>
    </w:p>
    <w:p>
      <w:pPr>
        <w:pStyle w:val="Heading2"/>
      </w:pPr>
      <w:r>
        <w:t>2.2 原型评审</w:t>
      </w:r>
    </w:p>
    <w:p>
      <w:r>
        <w:t>以 D1-4 UML 图集作为需求原型表达，对预约、排台和猫咪健康打卡三条链路进行逐图核对，重点确认流程是否能回链到 FR/NFR 主表。</w:t>
      </w:r>
    </w:p>
    <w:p>
      <w:pPr>
        <w:pStyle w:val="Heading2"/>
      </w:pPr>
      <w:r>
        <w:t>2.3 AI 反向质询</w:t>
      </w:r>
    </w:p>
    <w:p>
      <w:r>
        <w:t>使用 Prompt：请扮演一名挑剔的软件产品经理，针对以下 NekoCafé SRS 至少指出 5 处潜在二义性、冲突或缺失，并说明为什么这些问题会影响后续设计、开发或测试。</w:t>
      </w:r>
    </w:p>
    <w:p>
      <w:r>
        <w:t>AI 返回的主要问题集中在桌位偏好枚举、取消与爽约规则边界、推荐可解释性和活动合规授权。经人工复核后，形成如下缺陷列表。</w:t>
      </w:r>
    </w:p>
    <w:p>
      <w:pPr>
        <w:pStyle w:val="Heading2"/>
      </w:pPr>
      <w:r>
        <w:t>2.4 逐条需求可测试性来源标注</w:t>
      </w:r>
    </w:p>
    <w:p>
      <w:r>
        <w:t>按照实验一任务书要求，本节对每条 FR/NFR 的可测试性来源进行显式标注，确保需求能够回链到验收准则、验证方法与预占测试用例。</w:t>
      </w:r>
    </w:p>
    <w:p>
      <w:pPr>
        <w:jc w:val="left"/>
      </w:pPr>
      <w:r>
        <w:rPr>
          <w:b/>
        </w:rPr>
        <w:t>表 2-1 需求可测试性来源标注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需求ID</w:t>
            </w:r>
          </w:p>
        </w:tc>
        <w:tc>
          <w:tcPr>
            <w:tcW w:type="dxa" w:w="1729"/>
          </w:tcPr>
          <w:p>
            <w:r>
              <w:t>类型</w:t>
            </w:r>
          </w:p>
        </w:tc>
        <w:tc>
          <w:tcPr>
            <w:tcW w:type="dxa" w:w="1729"/>
          </w:tcPr>
          <w:p>
            <w:r>
              <w:t>可测试性来源</w:t>
            </w:r>
          </w:p>
        </w:tc>
        <w:tc>
          <w:tcPr>
            <w:tcW w:type="dxa" w:w="1729"/>
          </w:tcPr>
          <w:p>
            <w:r>
              <w:t>对应证据</w:t>
            </w:r>
          </w:p>
        </w:tc>
        <w:tc>
          <w:tcPr>
            <w:tcW w:type="dxa" w:w="1729"/>
          </w:tcPr>
          <w:p>
            <w:r>
              <w:t>预占测试用例</w:t>
            </w:r>
          </w:p>
        </w:tc>
      </w:tr>
      <w:tr>
        <w:tc>
          <w:tcPr>
            <w:tcW w:type="dxa" w:w="1729"/>
          </w:tcPr>
          <w:p>
            <w:r>
              <w:t>FR-001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新用户访问注册页 When 提交合法信息 Then 系统创建会员账号；关联 UC-001；类图实体 Member / MemberProfile</w:t>
            </w:r>
          </w:p>
        </w:tc>
        <w:tc>
          <w:tcPr>
            <w:tcW w:type="dxa" w:w="1729"/>
          </w:tcPr>
          <w:p>
            <w:r>
              <w:t>TC-001</w:t>
            </w:r>
          </w:p>
        </w:tc>
      </w:tr>
      <w:tr>
        <w:tc>
          <w:tcPr>
            <w:tcW w:type="dxa" w:w="1729"/>
          </w:tcPr>
          <w:p>
            <w:r>
              <w:t>FR-002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顾客进入门店页 When 选择日期 Then 返回可预约时段；关联 UC-002；类图实体 Store / BusinessCalendar</w:t>
            </w:r>
          </w:p>
        </w:tc>
        <w:tc>
          <w:tcPr>
            <w:tcW w:type="dxa" w:w="1729"/>
          </w:tcPr>
          <w:p>
            <w:r>
              <w:t>TC-002</w:t>
            </w:r>
          </w:p>
        </w:tc>
      </w:tr>
      <w:tr>
        <w:tc>
          <w:tcPr>
            <w:tcW w:type="dxa" w:w="1729"/>
          </w:tcPr>
          <w:p>
            <w:r>
              <w:t>FR-003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顾客已选择门店与时段 When 提交预约 Then 系统生成预约记录；关联 UC-003；类图实体 Reservation / ReservationOrder</w:t>
            </w:r>
          </w:p>
        </w:tc>
        <w:tc>
          <w:tcPr>
            <w:tcW w:type="dxa" w:w="1729"/>
          </w:tcPr>
          <w:p>
            <w:r>
              <w:t>TC-003</w:t>
            </w:r>
          </w:p>
        </w:tc>
      </w:tr>
      <w:tr>
        <w:tc>
          <w:tcPr>
            <w:tcW w:type="dxa" w:w="1729"/>
          </w:tcPr>
          <w:p>
            <w:r>
              <w:t>FR-004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存在有效预约 When 顾客取消 Then 状态更新为已取消且释放桌位；关联 UC-004；类图实体 ReservationOrder</w:t>
            </w:r>
          </w:p>
        </w:tc>
        <w:tc>
          <w:tcPr>
            <w:tcW w:type="dxa" w:w="1729"/>
          </w:tcPr>
          <w:p>
            <w:r>
              <w:t>TC-004</w:t>
            </w:r>
          </w:p>
        </w:tc>
      </w:tr>
      <w:tr>
        <w:tc>
          <w:tcPr>
            <w:tcW w:type="dxa" w:w="1729"/>
          </w:tcPr>
          <w:p>
            <w:r>
              <w:t>FR-005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顾客进入个人中心 When 打开预约记录 Then 系统展示历史状态列表；关联 UC-004；类图实体 ReservationOrder</w:t>
            </w:r>
          </w:p>
        </w:tc>
        <w:tc>
          <w:tcPr>
            <w:tcW w:type="dxa" w:w="1729"/>
          </w:tcPr>
          <w:p>
            <w:r>
              <w:t>TC-005</w:t>
            </w:r>
          </w:p>
        </w:tc>
      </w:tr>
      <w:tr>
        <w:tc>
          <w:tcPr>
            <w:tcW w:type="dxa" w:w="1729"/>
          </w:tcPr>
          <w:p>
            <w:r>
              <w:t>FR-006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顾客创建预约 When 选择偏好标签 Then 系统在可用桌位中优先匹配；关联 UC-003；类图实体 TableSlot</w:t>
            </w:r>
          </w:p>
        </w:tc>
        <w:tc>
          <w:tcPr>
            <w:tcW w:type="dxa" w:w="1729"/>
          </w:tcPr>
          <w:p>
            <w:r>
              <w:t>TC-006</w:t>
            </w:r>
          </w:p>
        </w:tc>
      </w:tr>
      <w:tr>
        <w:tc>
          <w:tcPr>
            <w:tcW w:type="dxa" w:w="1729"/>
          </w:tcPr>
          <w:p>
            <w:r>
              <w:t>FR-007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顾客填写偏好 When 提交推荐请求 Then 返回包含原因说明的推荐结果；关联 UC-007；类图实体 RecommendationRule</w:t>
            </w:r>
          </w:p>
        </w:tc>
        <w:tc>
          <w:tcPr>
            <w:tcW w:type="dxa" w:w="1729"/>
          </w:tcPr>
          <w:p>
            <w:r>
              <w:t>TC-007</w:t>
            </w:r>
          </w:p>
        </w:tc>
      </w:tr>
      <w:tr>
        <w:tc>
          <w:tcPr>
            <w:tcW w:type="dxa" w:w="1729"/>
          </w:tcPr>
          <w:p>
            <w:r>
              <w:t>FR-008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时段无可用桌位 When 顾客选择等位 Then 系统创建等位记录并告知排序；关联 UC-003；类图实体 WaitlistEntry</w:t>
            </w:r>
          </w:p>
        </w:tc>
        <w:tc>
          <w:tcPr>
            <w:tcW w:type="dxa" w:w="1729"/>
          </w:tcPr>
          <w:p>
            <w:r>
              <w:t>TC-008</w:t>
            </w:r>
          </w:p>
        </w:tc>
      </w:tr>
      <w:tr>
        <w:tc>
          <w:tcPr>
            <w:tcW w:type="dxa" w:w="1729"/>
          </w:tcPr>
          <w:p>
            <w:r>
              <w:t>FR-009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预约创建成功 When 进入通知阶段 Then 系统发送确认消息与到店提醒；关联 UC-003；类图实体 NotificationTask</w:t>
            </w:r>
          </w:p>
        </w:tc>
        <w:tc>
          <w:tcPr>
            <w:tcW w:type="dxa" w:w="1729"/>
          </w:tcPr>
          <w:p>
            <w:r>
              <w:t>TC-009</w:t>
            </w:r>
          </w:p>
        </w:tc>
      </w:tr>
      <w:tr>
        <w:tc>
          <w:tcPr>
            <w:tcW w:type="dxa" w:w="1729"/>
          </w:tcPr>
          <w:p>
            <w:r>
              <w:t>FR-010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顾客进入会员中心 When 打开权益页 Then 展示等级和可用权益；关联 UC-009；类图实体 LoyaltyPointAccount / Coupon</w:t>
            </w:r>
          </w:p>
        </w:tc>
        <w:tc>
          <w:tcPr>
            <w:tcW w:type="dxa" w:w="1729"/>
          </w:tcPr>
          <w:p>
            <w:r>
              <w:t>TC-010</w:t>
            </w:r>
          </w:p>
        </w:tc>
      </w:tr>
      <w:tr>
        <w:tc>
          <w:tcPr>
            <w:tcW w:type="dxa" w:w="1729"/>
          </w:tcPr>
          <w:p>
            <w:r>
              <w:t>FR-011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订单核销成功 When 结算完成 Then 系统按规则累积积分；关联 UC-009；类图实体 LoyaltyPointAccount</w:t>
            </w:r>
          </w:p>
        </w:tc>
        <w:tc>
          <w:tcPr>
            <w:tcW w:type="dxa" w:w="1729"/>
          </w:tcPr>
          <w:p>
            <w:r>
              <w:t>TC-011</w:t>
            </w:r>
          </w:p>
        </w:tc>
      </w:tr>
      <w:tr>
        <w:tc>
          <w:tcPr>
            <w:tcW w:type="dxa" w:w="1729"/>
          </w:tcPr>
          <w:p>
            <w:r>
              <w:t>FR-012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顾客满足使用条件 When 提交订单 Then 系统校验并抵扣优惠券；关联 UC-009；类图实体 Coupon</w:t>
            </w:r>
          </w:p>
        </w:tc>
        <w:tc>
          <w:tcPr>
            <w:tcW w:type="dxa" w:w="1729"/>
          </w:tcPr>
          <w:p>
            <w:r>
              <w:t>TC-012</w:t>
            </w:r>
          </w:p>
        </w:tc>
      </w:tr>
      <w:tr>
        <w:tc>
          <w:tcPr>
            <w:tcW w:type="dxa" w:w="1729"/>
          </w:tcPr>
          <w:p>
            <w:r>
              <w:t>FR-013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店员进入后台 When 查看当日排班 Then 系统展示预约与桌位占用；关联 UC-005；类图实体 ShiftSchedule / TableSlot</w:t>
            </w:r>
          </w:p>
        </w:tc>
        <w:tc>
          <w:tcPr>
            <w:tcW w:type="dxa" w:w="1729"/>
          </w:tcPr>
          <w:p>
            <w:r>
              <w:t>TC-013</w:t>
            </w:r>
          </w:p>
        </w:tc>
      </w:tr>
      <w:tr>
        <w:tc>
          <w:tcPr>
            <w:tcW w:type="dxa" w:w="1729"/>
          </w:tcPr>
          <w:p>
            <w:r>
              <w:t>FR-014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顾客到店 When 店员点击状态按钮 Then 预约订单进入下一状态；关联 UC-005；类图实体 ReservationOrder</w:t>
            </w:r>
          </w:p>
        </w:tc>
        <w:tc>
          <w:tcPr>
            <w:tcW w:type="dxa" w:w="1729"/>
          </w:tcPr>
          <w:p>
            <w:r>
              <w:t>TC-014</w:t>
            </w:r>
          </w:p>
        </w:tc>
      </w:tr>
      <w:tr>
        <w:tc>
          <w:tcPr>
            <w:tcW w:type="dxa" w:w="1729"/>
          </w:tcPr>
          <w:p>
            <w:r>
              <w:t>FR-015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预约出现异常 When 店员选择处置方式 Then 系统记录异常并更新资源占用；关联 UC-005；类图实体 ReservationOrder / TableSlot</w:t>
            </w:r>
          </w:p>
        </w:tc>
        <w:tc>
          <w:tcPr>
            <w:tcW w:type="dxa" w:w="1729"/>
          </w:tcPr>
          <w:p>
            <w:r>
              <w:t>TC-015</w:t>
            </w:r>
          </w:p>
        </w:tc>
      </w:tr>
      <w:tr>
        <w:tc>
          <w:tcPr>
            <w:tcW w:type="dxa" w:w="1729"/>
          </w:tcPr>
          <w:p>
            <w:r>
              <w:t>FR-016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店员进入猫咪档案页 When 填写体温与情绪 Then 系统保存打卡记录；关联 UC-006；类图实体 CatProfile / HealthRecord</w:t>
            </w:r>
          </w:p>
        </w:tc>
        <w:tc>
          <w:tcPr>
            <w:tcW w:type="dxa" w:w="1729"/>
          </w:tcPr>
          <w:p>
            <w:r>
              <w:t>TC-016</w:t>
            </w:r>
          </w:p>
        </w:tc>
      </w:tr>
      <w:tr>
        <w:tc>
          <w:tcPr>
            <w:tcW w:type="dxa" w:w="1729"/>
          </w:tcPr>
          <w:p>
            <w:r>
              <w:t>FR-017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店员查看猫咪列表 When 选择某只猫咪 Then 系统展示今日互动限制；关联 UC-006；类图实体 CatProfile</w:t>
            </w:r>
          </w:p>
        </w:tc>
        <w:tc>
          <w:tcPr>
            <w:tcW w:type="dxa" w:w="1729"/>
          </w:tcPr>
          <w:p>
            <w:r>
              <w:t>TC-017</w:t>
            </w:r>
          </w:p>
        </w:tc>
      </w:tr>
      <w:tr>
        <w:tc>
          <w:tcPr>
            <w:tcW w:type="dxa" w:w="1729"/>
          </w:tcPr>
          <w:p>
            <w:r>
              <w:t>FR-018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店长进入门店配置 When 更新营业时间 Then 新时段立即参与预约计算；关联 UC-008；类图实体 BusinessCalendar</w:t>
            </w:r>
          </w:p>
        </w:tc>
        <w:tc>
          <w:tcPr>
            <w:tcW w:type="dxa" w:w="1729"/>
          </w:tcPr>
          <w:p>
            <w:r>
              <w:t>TC-018</w:t>
            </w:r>
          </w:p>
        </w:tc>
      </w:tr>
      <w:tr>
        <w:tc>
          <w:tcPr>
            <w:tcW w:type="dxa" w:w="1729"/>
          </w:tcPr>
          <w:p>
            <w:r>
              <w:t>FR-019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门店调整桌位资源 When 保存配置 Then 系统刷新可预约资源池；关联 UC-008；类图实体 TableSlot</w:t>
            </w:r>
          </w:p>
        </w:tc>
        <w:tc>
          <w:tcPr>
            <w:tcW w:type="dxa" w:w="1729"/>
          </w:tcPr>
          <w:p>
            <w:r>
              <w:t>TC-019</w:t>
            </w:r>
          </w:p>
        </w:tc>
      </w:tr>
      <w:tr>
        <w:tc>
          <w:tcPr>
            <w:tcW w:type="dxa" w:w="1729"/>
          </w:tcPr>
          <w:p>
            <w:r>
              <w:t>FR-020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运营创建活动 When 设定规则 Then 系统向目标会员展示活动入口；关联 UC-008；类图实体 ActivityCampaign</w:t>
            </w:r>
          </w:p>
        </w:tc>
        <w:tc>
          <w:tcPr>
            <w:tcW w:type="dxa" w:w="1729"/>
          </w:tcPr>
          <w:p>
            <w:r>
              <w:t>TC-020</w:t>
            </w:r>
          </w:p>
        </w:tc>
      </w:tr>
      <w:tr>
        <w:tc>
          <w:tcPr>
            <w:tcW w:type="dxa" w:w="1729"/>
          </w:tcPr>
          <w:p>
            <w:r>
              <w:t>FR-021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运营进入数据看板 When 选择时间范围 Then 系统展示跨门店预约漏斗；关联 UC-008；类图实体 Reservation / ActivityCampaign</w:t>
            </w:r>
          </w:p>
        </w:tc>
        <w:tc>
          <w:tcPr>
            <w:tcW w:type="dxa" w:w="1729"/>
          </w:tcPr>
          <w:p>
            <w:r>
              <w:t>TC-021</w:t>
            </w:r>
          </w:p>
        </w:tc>
      </w:tr>
      <w:tr>
        <w:tc>
          <w:tcPr>
            <w:tcW w:type="dxa" w:w="1729"/>
          </w:tcPr>
          <w:p>
            <w:r>
              <w:t>FR-022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运营查看经营指标 When 切换维度 Then 系统展示复购与活动拉动效果；关联 UC-008；类图实体 Member / ActivityCampaign</w:t>
            </w:r>
          </w:p>
        </w:tc>
        <w:tc>
          <w:tcPr>
            <w:tcW w:type="dxa" w:w="1729"/>
          </w:tcPr>
          <w:p>
            <w:r>
              <w:t>TC-022</w:t>
            </w:r>
          </w:p>
        </w:tc>
      </w:tr>
      <w:tr>
        <w:tc>
          <w:tcPr>
            <w:tcW w:type="dxa" w:w="1729"/>
          </w:tcPr>
          <w:p>
            <w:r>
              <w:t>FR-023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顾客拥有有效预约 When 打开菜单 Then 系统允许提交预点单；关联 UC-010；类图实体 ReservationOrder</w:t>
            </w:r>
          </w:p>
        </w:tc>
        <w:tc>
          <w:tcPr>
            <w:tcW w:type="dxa" w:w="1729"/>
          </w:tcPr>
          <w:p>
            <w:r>
              <w:t>TC-023</w:t>
            </w:r>
          </w:p>
        </w:tc>
      </w:tr>
      <w:tr>
        <w:tc>
          <w:tcPr>
            <w:tcW w:type="dxa" w:w="1729"/>
          </w:tcPr>
          <w:p>
            <w:r>
              <w:t>FR-024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顾客打开订单中心 When 查看某笔订单 Then 系统展示支付、备餐和核销状态；关联 UC-010；类图实体 ReservationOrder</w:t>
            </w:r>
          </w:p>
        </w:tc>
        <w:tc>
          <w:tcPr>
            <w:tcW w:type="dxa" w:w="1729"/>
          </w:tcPr>
          <w:p>
            <w:r>
              <w:t>TC-024</w:t>
            </w:r>
          </w:p>
        </w:tc>
      </w:tr>
      <w:tr>
        <w:tc>
          <w:tcPr>
            <w:tcW w:type="dxa" w:w="1729"/>
          </w:tcPr>
          <w:p>
            <w:r>
              <w:t>FR-025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顾客未收到通知 When 店员点击补发 Then 系统重新触发消息任务；关联 UC-005；类图实体 NotificationTask</w:t>
            </w:r>
          </w:p>
        </w:tc>
        <w:tc>
          <w:tcPr>
            <w:tcW w:type="dxa" w:w="1729"/>
          </w:tcPr>
          <w:p>
            <w:r>
              <w:t>TC-025</w:t>
            </w:r>
          </w:p>
        </w:tc>
      </w:tr>
      <w:tr>
        <w:tc>
          <w:tcPr>
            <w:tcW w:type="dxa" w:w="1729"/>
          </w:tcPr>
          <w:p>
            <w:r>
              <w:t>FR-026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店员处理异常 When 提交处置结果 Then 系统记录操作人、时间与原因；关联 UC-005；类图实体 AuditLog</w:t>
            </w:r>
          </w:p>
        </w:tc>
        <w:tc>
          <w:tcPr>
            <w:tcW w:type="dxa" w:w="1729"/>
          </w:tcPr>
          <w:p>
            <w:r>
              <w:t>TC-026</w:t>
            </w:r>
          </w:p>
        </w:tc>
      </w:tr>
      <w:tr>
        <w:tc>
          <w:tcPr>
            <w:tcW w:type="dxa" w:w="1729"/>
          </w:tcPr>
          <w:p>
            <w:r>
              <w:t>FR-027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发送通知失败 When 满足重试策略 Then 系统自动进入重试队列；关联 UC-003；类图实体 NotificationTask</w:t>
            </w:r>
          </w:p>
        </w:tc>
        <w:tc>
          <w:tcPr>
            <w:tcW w:type="dxa" w:w="1729"/>
          </w:tcPr>
          <w:p>
            <w:r>
              <w:t>TC-027</w:t>
            </w:r>
          </w:p>
        </w:tc>
      </w:tr>
      <w:tr>
        <w:tc>
          <w:tcPr>
            <w:tcW w:type="dxa" w:w="1729"/>
          </w:tcPr>
          <w:p>
            <w:r>
              <w:t>FR-028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管理员访问敏感数据 When 执行查询或导出 Then 系统记录审计日志；关联 UC-008；类图实体 AuditLog</w:t>
            </w:r>
          </w:p>
        </w:tc>
        <w:tc>
          <w:tcPr>
            <w:tcW w:type="dxa" w:w="1729"/>
          </w:tcPr>
          <w:p>
            <w:r>
              <w:t>TC-028</w:t>
            </w:r>
          </w:p>
        </w:tc>
      </w:tr>
      <w:tr>
        <w:tc>
          <w:tcPr>
            <w:tcW w:type="dxa" w:w="1729"/>
          </w:tcPr>
          <w:p>
            <w:r>
              <w:t>FR-029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推荐服务返回结果 When 顾客查看详情 Then 系统展示可理解的推荐理由；关联 UC-007；类图实体 RecommendationRule</w:t>
            </w:r>
          </w:p>
        </w:tc>
        <w:tc>
          <w:tcPr>
            <w:tcW w:type="dxa" w:w="1729"/>
          </w:tcPr>
          <w:p>
            <w:r>
              <w:t>TC-029</w:t>
            </w:r>
          </w:p>
        </w:tc>
      </w:tr>
      <w:tr>
        <w:tc>
          <w:tcPr>
            <w:tcW w:type="dxa" w:w="1729"/>
          </w:tcPr>
          <w:p>
            <w:r>
              <w:t>FR-030</w:t>
            </w:r>
          </w:p>
        </w:tc>
        <w:tc>
          <w:tcPr>
            <w:tcW w:type="dxa" w:w="1729"/>
          </w:tcPr>
          <w:p>
            <w:r>
              <w:t>功能需求</w:t>
            </w:r>
          </w:p>
        </w:tc>
        <w:tc>
          <w:tcPr>
            <w:tcW w:type="dxa" w:w="1729"/>
          </w:tcPr>
          <w:p>
            <w:r>
              <w:t>Given-When-Then 验收准则</w:t>
            </w:r>
          </w:p>
        </w:tc>
        <w:tc>
          <w:tcPr>
            <w:tcW w:type="dxa" w:w="1729"/>
          </w:tcPr>
          <w:p>
            <w:r>
              <w:t>Given 预约状态变化 When 顾客入座或离店 Then 桌位资源池同步更新；关联 UC-005；类图实体 TableSlot / ReservationOrder</w:t>
            </w:r>
          </w:p>
        </w:tc>
        <w:tc>
          <w:tcPr>
            <w:tcW w:type="dxa" w:w="1729"/>
          </w:tcPr>
          <w:p>
            <w:r>
              <w:t>TC-030</w:t>
            </w:r>
          </w:p>
        </w:tc>
      </w:tr>
      <w:tr>
        <w:tc>
          <w:tcPr>
            <w:tcW w:type="dxa" w:w="1729"/>
          </w:tcPr>
          <w:p>
            <w:r>
              <w:t>NFR-001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峰值 5000 QPS 下错误率低于 1%；验证方式：k6 压测；上下文：BC-RESERVATION</w:t>
            </w:r>
          </w:p>
        </w:tc>
        <w:tc>
          <w:tcPr>
            <w:tcW w:type="dxa" w:w="1729"/>
          </w:tcPr>
          <w:p>
            <w:r>
              <w:t>TC-NFR-01</w:t>
            </w:r>
          </w:p>
        </w:tc>
      </w:tr>
      <w:tr>
        <w:tc>
          <w:tcPr>
            <w:tcW w:type="dxa" w:w="1729"/>
          </w:tcPr>
          <w:p>
            <w:r>
              <w:t>NFR-002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月度可用性 &gt;= 99.9%；验证方式：Prometheus + SLO 报告；上下文：BC-RESERVATION</w:t>
            </w:r>
          </w:p>
        </w:tc>
        <w:tc>
          <w:tcPr>
            <w:tcW w:type="dxa" w:w="1729"/>
          </w:tcPr>
          <w:p>
            <w:r>
              <w:t>TC-NFR-02</w:t>
            </w:r>
          </w:p>
        </w:tc>
      </w:tr>
      <w:tr>
        <w:tc>
          <w:tcPr>
            <w:tcW w:type="dxa" w:w="1729"/>
          </w:tcPr>
          <w:p>
            <w:r>
              <w:t>NFR-003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敏感字段具备权限控制与脱敏规则；验证方式：安全测试 + 合规审查；上下文：BC-MEMBER</w:t>
            </w:r>
          </w:p>
        </w:tc>
        <w:tc>
          <w:tcPr>
            <w:tcW w:type="dxa" w:w="1729"/>
          </w:tcPr>
          <w:p>
            <w:r>
              <w:t>TC-NFR-03</w:t>
            </w:r>
          </w:p>
        </w:tc>
      </w:tr>
      <w:tr>
        <w:tc>
          <w:tcPr>
            <w:tcW w:type="dxa" w:w="1729"/>
          </w:tcPr>
          <w:p>
            <w:r>
              <w:t>NFR-004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配置变更发布过程不影响已有门店服务；验证方式：变更演练；上下文：BC-STORE-OPS</w:t>
            </w:r>
          </w:p>
        </w:tc>
        <w:tc>
          <w:tcPr>
            <w:tcW w:type="dxa" w:w="1729"/>
          </w:tcPr>
          <w:p>
            <w:r>
              <w:t>TC-NFR-04</w:t>
            </w:r>
          </w:p>
        </w:tc>
      </w:tr>
      <w:tr>
        <w:tc>
          <w:tcPr>
            <w:tcW w:type="dxa" w:w="1729"/>
          </w:tcPr>
          <w:p>
            <w:r>
              <w:t>NFR-005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完成预约的主流程不超过 3 个关键操作页面；验证方式：可用性走查；上下文：BC-RESERVATION</w:t>
            </w:r>
          </w:p>
        </w:tc>
        <w:tc>
          <w:tcPr>
            <w:tcW w:type="dxa" w:w="1729"/>
          </w:tcPr>
          <w:p>
            <w:r>
              <w:t>TC-NFR-05</w:t>
            </w:r>
          </w:p>
        </w:tc>
      </w:tr>
      <w:tr>
        <w:tc>
          <w:tcPr>
            <w:tcW w:type="dxa" w:w="1729"/>
          </w:tcPr>
          <w:p>
            <w:r>
              <w:t>NFR-006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覆盖 iOS Safari、Android Chrome、微信小程序；验证方式：兼容性测试；上下文：BC-RESERVATION</w:t>
            </w:r>
          </w:p>
        </w:tc>
        <w:tc>
          <w:tcPr>
            <w:tcW w:type="dxa" w:w="1729"/>
          </w:tcPr>
          <w:p>
            <w:r>
              <w:t>TC-NFR-06</w:t>
            </w:r>
          </w:p>
        </w:tc>
      </w:tr>
      <w:tr>
        <w:tc>
          <w:tcPr>
            <w:tcW w:type="dxa" w:w="1729"/>
          </w:tcPr>
          <w:p>
            <w:r>
              <w:t>NFR-007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敏感操作日志保留 &gt;= 180 天且支持检索；验证方式：日志审计检查；上下文：BC-OPERATIONS</w:t>
            </w:r>
          </w:p>
        </w:tc>
        <w:tc>
          <w:tcPr>
            <w:tcW w:type="dxa" w:w="1729"/>
          </w:tcPr>
          <w:p>
            <w:r>
              <w:t>TC-NFR-07</w:t>
            </w:r>
          </w:p>
        </w:tc>
      </w:tr>
      <w:tr>
        <w:tc>
          <w:tcPr>
            <w:tcW w:type="dxa" w:w="1729"/>
          </w:tcPr>
          <w:p>
            <w:r>
              <w:t>NFR-008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服务镜像化后可在统一运行环境启动；验证方式：容器化验证；上下文：BC-RESERVATION</w:t>
            </w:r>
          </w:p>
        </w:tc>
        <w:tc>
          <w:tcPr>
            <w:tcW w:type="dxa" w:w="1729"/>
          </w:tcPr>
          <w:p>
            <w:r>
              <w:t>TC-NFR-08</w:t>
            </w:r>
          </w:p>
        </w:tc>
      </w:tr>
      <w:tr>
        <w:tc>
          <w:tcPr>
            <w:tcW w:type="dxa" w:w="1729"/>
          </w:tcPr>
          <w:p>
            <w:r>
              <w:t>NFR-009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P95 推荐响应时间 &lt;= 2s 且解释字段非空；验证方式：接口测试；上下文：BC-RECOMMENDATION</w:t>
            </w:r>
          </w:p>
        </w:tc>
        <w:tc>
          <w:tcPr>
            <w:tcW w:type="dxa" w:w="1729"/>
          </w:tcPr>
          <w:p>
            <w:r>
              <w:t>TC-NFR-09</w:t>
            </w:r>
          </w:p>
        </w:tc>
      </w:tr>
      <w:tr>
        <w:tc>
          <w:tcPr>
            <w:tcW w:type="dxa" w:w="1729"/>
          </w:tcPr>
          <w:p>
            <w:r>
              <w:t>NFR-010</w:t>
            </w:r>
          </w:p>
        </w:tc>
        <w:tc>
          <w:tcPr>
            <w:tcW w:type="dxa" w:w="1729"/>
          </w:tcPr>
          <w:p>
            <w:r>
              <w:t>非功能需求</w:t>
            </w:r>
          </w:p>
        </w:tc>
        <w:tc>
          <w:tcPr>
            <w:tcW w:type="dxa" w:w="1729"/>
          </w:tcPr>
          <w:p>
            <w:r>
              <w:t>度量指标 + 验证方法</w:t>
            </w:r>
          </w:p>
        </w:tc>
        <w:tc>
          <w:tcPr>
            <w:tcW w:type="dxa" w:w="1729"/>
          </w:tcPr>
          <w:p>
            <w:r>
              <w:t>异常预约在后台列表中 1 秒内可识别；验证方式：可用性走查；上下文：BC-STORE-OPS</w:t>
            </w:r>
          </w:p>
        </w:tc>
        <w:tc>
          <w:tcPr>
            <w:tcW w:type="dxa" w:w="1729"/>
          </w:tcPr>
          <w:p>
            <w:r>
              <w:t>TC-NFR-10</w:t>
            </w:r>
          </w:p>
        </w:tc>
      </w:tr>
    </w:tbl>
    <w:p>
      <w:pPr>
        <w:pStyle w:val="Heading1"/>
      </w:pPr>
      <w:r>
        <w:t>3 缺陷列表</w:t>
      </w:r>
    </w:p>
    <w:p>
      <w:pPr>
        <w:jc w:val="left"/>
      </w:pPr>
      <w:r>
        <w:rPr>
          <w:b/>
        </w:rPr>
        <w:t>表 3-1 缺陷列表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>
            <w:r>
              <w:t>缺陷ID</w:t>
            </w:r>
          </w:p>
        </w:tc>
        <w:tc>
          <w:tcPr>
            <w:tcW w:type="dxa" w:w="1235"/>
          </w:tcPr>
          <w:p>
            <w:r>
              <w:t>类型</w:t>
            </w:r>
          </w:p>
        </w:tc>
        <w:tc>
          <w:tcPr>
            <w:tcW w:type="dxa" w:w="1235"/>
          </w:tcPr>
          <w:p>
            <w:r>
              <w:t>所在需求ID</w:t>
            </w:r>
          </w:p>
        </w:tc>
        <w:tc>
          <w:tcPr>
            <w:tcW w:type="dxa" w:w="1235"/>
          </w:tcPr>
          <w:p>
            <w:r>
              <w:t>描述</w:t>
            </w:r>
          </w:p>
        </w:tc>
        <w:tc>
          <w:tcPr>
            <w:tcW w:type="dxa" w:w="1235"/>
          </w:tcPr>
          <w:p>
            <w:r>
              <w:t>严重度</w:t>
            </w:r>
          </w:p>
        </w:tc>
        <w:tc>
          <w:tcPr>
            <w:tcW w:type="dxa" w:w="1235"/>
          </w:tcPr>
          <w:p>
            <w:r>
              <w:t>处置建议</w:t>
            </w:r>
          </w:p>
        </w:tc>
        <w:tc>
          <w:tcPr>
            <w:tcW w:type="dxa" w:w="1235"/>
          </w:tcPr>
          <w:p>
            <w:r>
              <w:t>状态</w:t>
            </w:r>
          </w:p>
        </w:tc>
      </w:tr>
      <w:tr>
        <w:tc>
          <w:tcPr>
            <w:tcW w:type="dxa" w:w="1235"/>
          </w:tcPr>
          <w:p>
            <w:r>
              <w:t>D-001</w:t>
            </w:r>
          </w:p>
        </w:tc>
        <w:tc>
          <w:tcPr>
            <w:tcW w:type="dxa" w:w="1235"/>
          </w:tcPr>
          <w:p>
            <w:r>
              <w:t>二义性</w:t>
            </w:r>
          </w:p>
        </w:tc>
        <w:tc>
          <w:tcPr>
            <w:tcW w:type="dxa" w:w="1235"/>
          </w:tcPr>
          <w:p>
            <w:r>
              <w:t>FR-006</w:t>
            </w:r>
          </w:p>
        </w:tc>
        <w:tc>
          <w:tcPr>
            <w:tcW w:type="dxa" w:w="1235"/>
          </w:tcPr>
          <w:p>
            <w:r>
              <w:t>桌位偏好的候选值未限定，前端和后台可能理解不一致</w:t>
            </w:r>
          </w:p>
        </w:tc>
        <w:tc>
          <w:tcPr>
            <w:tcW w:type="dxa" w:w="1235"/>
          </w:tcPr>
          <w:p>
            <w:r>
              <w:t>M</w:t>
            </w:r>
          </w:p>
        </w:tc>
        <w:tc>
          <w:tcPr>
            <w:tcW w:type="dxa" w:w="1235"/>
          </w:tcPr>
          <w:p>
            <w:r>
              <w:t>补充偏好枚举和示例</w:t>
            </w:r>
          </w:p>
        </w:tc>
        <w:tc>
          <w:tcPr>
            <w:tcW w:type="dxa" w:w="1235"/>
          </w:tcPr>
          <w:p>
            <w:r>
              <w:t>已修复</w:t>
            </w:r>
          </w:p>
        </w:tc>
      </w:tr>
      <w:tr>
        <w:tc>
          <w:tcPr>
            <w:tcW w:type="dxa" w:w="1235"/>
          </w:tcPr>
          <w:p>
            <w:r>
              <w:t>D-002</w:t>
            </w:r>
          </w:p>
        </w:tc>
        <w:tc>
          <w:tcPr>
            <w:tcW w:type="dxa" w:w="1235"/>
          </w:tcPr>
          <w:p>
            <w:r>
              <w:t>冲突</w:t>
            </w:r>
          </w:p>
        </w:tc>
        <w:tc>
          <w:tcPr>
            <w:tcW w:type="dxa" w:w="1235"/>
          </w:tcPr>
          <w:p>
            <w:r>
              <w:t>FR-004 ↔ FR-015</w:t>
            </w:r>
          </w:p>
        </w:tc>
        <w:tc>
          <w:tcPr>
            <w:tcW w:type="dxa" w:w="1235"/>
          </w:tcPr>
          <w:p>
            <w:r>
              <w:t>顾客取消规则与门店爽约处理规则初稿存在时限冲突</w:t>
            </w:r>
          </w:p>
        </w:tc>
        <w:tc>
          <w:tcPr>
            <w:tcW w:type="dxa" w:w="1235"/>
          </w:tcPr>
          <w:p>
            <w:r>
              <w:t>H</w:t>
            </w:r>
          </w:p>
        </w:tc>
        <w:tc>
          <w:tcPr>
            <w:tcW w:type="dxa" w:w="1235"/>
          </w:tcPr>
          <w:p>
            <w:r>
              <w:t>以门店营业前 2 小时为统一阈值</w:t>
            </w:r>
          </w:p>
        </w:tc>
        <w:tc>
          <w:tcPr>
            <w:tcW w:type="dxa" w:w="1235"/>
          </w:tcPr>
          <w:p>
            <w:r>
              <w:t>已修复</w:t>
            </w:r>
          </w:p>
        </w:tc>
      </w:tr>
      <w:tr>
        <w:tc>
          <w:tcPr>
            <w:tcW w:type="dxa" w:w="1235"/>
          </w:tcPr>
          <w:p>
            <w:r>
              <w:t>D-003</w:t>
            </w:r>
          </w:p>
        </w:tc>
        <w:tc>
          <w:tcPr>
            <w:tcW w:type="dxa" w:w="1235"/>
          </w:tcPr>
          <w:p>
            <w:r>
              <w:t>缺失</w:t>
            </w:r>
          </w:p>
        </w:tc>
        <w:tc>
          <w:tcPr>
            <w:tcW w:type="dxa" w:w="1235"/>
          </w:tcPr>
          <w:p>
            <w:r>
              <w:t>FR-009</w:t>
            </w:r>
          </w:p>
        </w:tc>
        <w:tc>
          <w:tcPr>
            <w:tcW w:type="dxa" w:w="1235"/>
          </w:tcPr>
          <w:p>
            <w:r>
              <w:t>提醒消息缺少失败重试策略</w:t>
            </w:r>
          </w:p>
        </w:tc>
        <w:tc>
          <w:tcPr>
            <w:tcW w:type="dxa" w:w="1235"/>
          </w:tcPr>
          <w:p>
            <w:r>
              <w:t>M</w:t>
            </w:r>
          </w:p>
        </w:tc>
        <w:tc>
          <w:tcPr>
            <w:tcW w:type="dxa" w:w="1235"/>
          </w:tcPr>
          <w:p>
            <w:r>
              <w:t>新增 FR-027 作为补充需求</w:t>
            </w:r>
          </w:p>
        </w:tc>
        <w:tc>
          <w:tcPr>
            <w:tcW w:type="dxa" w:w="1235"/>
          </w:tcPr>
          <w:p>
            <w:r>
              <w:t>已修复</w:t>
            </w:r>
          </w:p>
        </w:tc>
      </w:tr>
      <w:tr>
        <w:tc>
          <w:tcPr>
            <w:tcW w:type="dxa" w:w="1235"/>
          </w:tcPr>
          <w:p>
            <w:r>
              <w:t>D-004</w:t>
            </w:r>
          </w:p>
        </w:tc>
        <w:tc>
          <w:tcPr>
            <w:tcW w:type="dxa" w:w="1235"/>
          </w:tcPr>
          <w:p>
            <w:r>
              <w:t>二义性</w:t>
            </w:r>
          </w:p>
        </w:tc>
        <w:tc>
          <w:tcPr>
            <w:tcW w:type="dxa" w:w="1235"/>
          </w:tcPr>
          <w:p>
            <w:r>
              <w:t>NFR-005</w:t>
            </w:r>
          </w:p>
        </w:tc>
        <w:tc>
          <w:tcPr>
            <w:tcW w:type="dxa" w:w="1235"/>
          </w:tcPr>
          <w:p>
            <w:r>
              <w:t>“三步内完成预约”未说明是否包含登录步骤</w:t>
            </w:r>
          </w:p>
        </w:tc>
        <w:tc>
          <w:tcPr>
            <w:tcW w:type="dxa" w:w="1235"/>
          </w:tcPr>
          <w:p>
            <w:r>
              <w:t>L</w:t>
            </w:r>
          </w:p>
        </w:tc>
        <w:tc>
          <w:tcPr>
            <w:tcW w:type="dxa" w:w="1235"/>
          </w:tcPr>
          <w:p>
            <w:r>
              <w:t>将指标定义为关键业务页面数，不含登录授权</w:t>
            </w:r>
          </w:p>
        </w:tc>
        <w:tc>
          <w:tcPr>
            <w:tcW w:type="dxa" w:w="1235"/>
          </w:tcPr>
          <w:p>
            <w:r>
              <w:t>已修复</w:t>
            </w:r>
          </w:p>
        </w:tc>
      </w:tr>
      <w:tr>
        <w:tc>
          <w:tcPr>
            <w:tcW w:type="dxa" w:w="1235"/>
          </w:tcPr>
          <w:p>
            <w:r>
              <w:t>D-005</w:t>
            </w:r>
          </w:p>
        </w:tc>
        <w:tc>
          <w:tcPr>
            <w:tcW w:type="dxa" w:w="1235"/>
          </w:tcPr>
          <w:p>
            <w:r>
              <w:t>缺失</w:t>
            </w:r>
          </w:p>
        </w:tc>
        <w:tc>
          <w:tcPr>
            <w:tcW w:type="dxa" w:w="1235"/>
          </w:tcPr>
          <w:p>
            <w:r>
              <w:t>UC-006</w:t>
            </w:r>
          </w:p>
        </w:tc>
        <w:tc>
          <w:tcPr>
            <w:tcW w:type="dxa" w:w="1235"/>
          </w:tcPr>
          <w:p>
            <w:r>
              <w:t>猫咪异常健康指标没有对应异常分流</w:t>
            </w:r>
          </w:p>
        </w:tc>
        <w:tc>
          <w:tcPr>
            <w:tcW w:type="dxa" w:w="1235"/>
          </w:tcPr>
          <w:p>
            <w:r>
              <w:t>M</w:t>
            </w:r>
          </w:p>
        </w:tc>
        <w:tc>
          <w:tcPr>
            <w:tcW w:type="dxa" w:w="1235"/>
          </w:tcPr>
          <w:p>
            <w:r>
              <w:t>在活动图和用例异常流中增加人工复核</w:t>
            </w:r>
          </w:p>
        </w:tc>
        <w:tc>
          <w:tcPr>
            <w:tcW w:type="dxa" w:w="1235"/>
          </w:tcPr>
          <w:p>
            <w:r>
              <w:t>已修复</w:t>
            </w:r>
          </w:p>
        </w:tc>
      </w:tr>
      <w:tr>
        <w:tc>
          <w:tcPr>
            <w:tcW w:type="dxa" w:w="1235"/>
          </w:tcPr>
          <w:p>
            <w:r>
              <w:t>D-006</w:t>
            </w:r>
          </w:p>
        </w:tc>
        <w:tc>
          <w:tcPr>
            <w:tcW w:type="dxa" w:w="1235"/>
          </w:tcPr>
          <w:p>
            <w:r>
              <w:t>冲突</w:t>
            </w:r>
          </w:p>
        </w:tc>
        <w:tc>
          <w:tcPr>
            <w:tcW w:type="dxa" w:w="1235"/>
          </w:tcPr>
          <w:p>
            <w:r>
              <w:t>FR-020 ↔ NFR-003</w:t>
            </w:r>
          </w:p>
        </w:tc>
        <w:tc>
          <w:tcPr>
            <w:tcW w:type="dxa" w:w="1235"/>
          </w:tcPr>
          <w:p>
            <w:r>
              <w:t>活动触达策略与个保法授权边界表达不足</w:t>
            </w:r>
          </w:p>
        </w:tc>
        <w:tc>
          <w:tcPr>
            <w:tcW w:type="dxa" w:w="1235"/>
          </w:tcPr>
          <w:p>
            <w:r>
              <w:t>H</w:t>
            </w:r>
          </w:p>
        </w:tc>
        <w:tc>
          <w:tcPr>
            <w:tcW w:type="dxa" w:w="1235"/>
          </w:tcPr>
          <w:p>
            <w:r>
              <w:t>补充仅对授权会员推送活动的限制</w:t>
            </w:r>
          </w:p>
        </w:tc>
        <w:tc>
          <w:tcPr>
            <w:tcW w:type="dxa" w:w="1235"/>
          </w:tcPr>
          <w:p>
            <w:r>
              <w:t>待后续评审</w:t>
            </w:r>
          </w:p>
        </w:tc>
      </w:tr>
    </w:tbl>
    <w:p>
      <w:pPr>
        <w:pStyle w:val="Heading2"/>
      </w:pPr>
      <w:r>
        <w:t>3.1 二义性问题</w:t>
      </w:r>
    </w:p>
    <w:p>
      <w:r>
        <w:t>FR-006 和 NFR-005 在初稿中对“偏好”和“三步”缺少明确口径，已通过补充枚举值、操作页面数定义进行消歧。</w:t>
      </w:r>
    </w:p>
    <w:p>
      <w:pPr>
        <w:pStyle w:val="Heading2"/>
      </w:pPr>
      <w:r>
        <w:t>3.2 冲突问题</w:t>
      </w:r>
    </w:p>
    <w:p>
      <w:r>
        <w:t>FR-004 与 FR-015 对取消和爽约的时间边界存在冲突。经统一后，以“营业前 2 小时”为关键阈值，兼顾顾客体验与门店调度成本。</w:t>
      </w:r>
    </w:p>
    <w:p>
      <w:pPr>
        <w:pStyle w:val="Heading2"/>
      </w:pPr>
      <w:r>
        <w:t>3.3 缺失问题</w:t>
      </w:r>
    </w:p>
    <w:p>
      <w:r>
        <w:t>通知失败重试、猫咪异常健康分流和活动触达授权边界是本轮新增补充项，其中前两项已纳入基线，活动合规问题保留待进一步评审。</w:t>
      </w:r>
    </w:p>
    <w:p>
      <w:pPr>
        <w:pStyle w:val="Heading1"/>
      </w:pPr>
      <w:r>
        <w:t>4 缺陷处置追踪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缺陷ID</w:t>
            </w:r>
          </w:p>
        </w:tc>
        <w:tc>
          <w:tcPr>
            <w:tcW w:type="dxa" w:w="1729"/>
          </w:tcPr>
          <w:p>
            <w:r>
              <w:t>处置人</w:t>
            </w:r>
          </w:p>
        </w:tc>
        <w:tc>
          <w:tcPr>
            <w:tcW w:type="dxa" w:w="1729"/>
          </w:tcPr>
          <w:p>
            <w:r>
              <w:t>关闭方式</w:t>
            </w:r>
          </w:p>
        </w:tc>
        <w:tc>
          <w:tcPr>
            <w:tcW w:type="dxa" w:w="1729"/>
          </w:tcPr>
          <w:p>
            <w:r>
              <w:t>修复依据</w:t>
            </w:r>
          </w:p>
        </w:tc>
        <w:tc>
          <w:tcPr>
            <w:tcW w:type="dxa" w:w="1729"/>
          </w:tcPr>
          <w:p>
            <w:r>
              <w:t>关闭日期</w:t>
            </w:r>
          </w:p>
        </w:tc>
      </w:tr>
      <w:tr>
        <w:tc>
          <w:tcPr>
            <w:tcW w:type="dxa" w:w="1729"/>
          </w:tcPr>
          <w:p>
            <w:r>
              <w:t>D-001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补充偏好枚举和示例</w:t>
            </w:r>
          </w:p>
        </w:tc>
        <w:tc>
          <w:tcPr>
            <w:tcW w:type="dxa" w:w="1729"/>
          </w:tcPr>
          <w:p>
            <w:r>
              <w:t>FR-006 对应条目已在 D1-2 / D1-3 / D1-5 v1.0 中修订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</w:tr>
      <w:tr>
        <w:tc>
          <w:tcPr>
            <w:tcW w:type="dxa" w:w="1729"/>
          </w:tcPr>
          <w:p>
            <w:r>
              <w:t>D-002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以门店营业前 2 小时为统一阈值</w:t>
            </w:r>
          </w:p>
        </w:tc>
        <w:tc>
          <w:tcPr>
            <w:tcW w:type="dxa" w:w="1729"/>
          </w:tcPr>
          <w:p>
            <w:r>
              <w:t>FR-004 ↔ FR-015 对应条目已在 D1-2 / D1-3 / D1-5 v1.0 中修订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</w:tr>
      <w:tr>
        <w:tc>
          <w:tcPr>
            <w:tcW w:type="dxa" w:w="1729"/>
          </w:tcPr>
          <w:p>
            <w:r>
              <w:t>D-003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新增 FR-027 作为补充需求</w:t>
            </w:r>
          </w:p>
        </w:tc>
        <w:tc>
          <w:tcPr>
            <w:tcW w:type="dxa" w:w="1729"/>
          </w:tcPr>
          <w:p>
            <w:r>
              <w:t>FR-009 对应条目已在 D1-2 / D1-3 / D1-5 v1.0 中修订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</w:tr>
      <w:tr>
        <w:tc>
          <w:tcPr>
            <w:tcW w:type="dxa" w:w="1729"/>
          </w:tcPr>
          <w:p>
            <w:r>
              <w:t>D-004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将指标定义为关键业务页面数，不含登录授权</w:t>
            </w:r>
          </w:p>
        </w:tc>
        <w:tc>
          <w:tcPr>
            <w:tcW w:type="dxa" w:w="1729"/>
          </w:tcPr>
          <w:p>
            <w:r>
              <w:t>NFR-005 对应条目已在 D1-2 / D1-3 / D1-5 v1.0 中修订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</w:tr>
      <w:tr>
        <w:tc>
          <w:tcPr>
            <w:tcW w:type="dxa" w:w="1729"/>
          </w:tcPr>
          <w:p>
            <w:r>
              <w:t>D-005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在活动图和用例异常流中增加人工复核</w:t>
            </w:r>
          </w:p>
        </w:tc>
        <w:tc>
          <w:tcPr>
            <w:tcW w:type="dxa" w:w="1729"/>
          </w:tcPr>
          <w:p>
            <w:r>
              <w:t>UC-006 对应条目已在 D1-2 / D1-3 / D1-5 v1.0 中修订</w:t>
            </w:r>
          </w:p>
        </w:tc>
        <w:tc>
          <w:tcPr>
            <w:tcW w:type="dxa" w:w="1729"/>
          </w:tcPr>
          <w:p>
            <w:r>
              <w:t>2026-05-07</w:t>
            </w:r>
          </w:p>
        </w:tc>
      </w:tr>
      <w:tr>
        <w:tc>
          <w:tcPr>
            <w:tcW w:type="dxa" w:w="1729"/>
          </w:tcPr>
          <w:p>
            <w:r>
              <w:t>D-006</w:t>
            </w:r>
          </w:p>
        </w:tc>
        <w:tc>
          <w:tcPr>
            <w:tcW w:type="dxa" w:w="1729"/>
          </w:tcPr>
          <w:p>
            <w:r>
              <w:t>戚晋瑜</w:t>
            </w:r>
          </w:p>
        </w:tc>
        <w:tc>
          <w:tcPr>
            <w:tcW w:type="dxa" w:w="1729"/>
          </w:tcPr>
          <w:p>
            <w:r>
              <w:t>补充仅对授权会员推送活动的限制</w:t>
            </w:r>
          </w:p>
        </w:tc>
        <w:tc>
          <w:tcPr>
            <w:tcW w:type="dxa" w:w="1729"/>
          </w:tcPr>
          <w:p>
            <w:r>
              <w:t>保留到实验二继续评审并补充修订依据</w:t>
            </w:r>
          </w:p>
        </w:tc>
        <w:tc>
          <w:tcPr>
            <w:tcW w:type="dxa" w:w="1729"/>
          </w:tcPr>
          <w:p>
            <w:r>
              <w:t>待后续评审</w:t>
            </w:r>
          </w:p>
        </w:tc>
      </w:tr>
    </w:tbl>
    <w:p>
      <w:pPr>
        <w:pStyle w:val="Heading1"/>
      </w:pPr>
      <w:r>
        <w:t>5 结论与基线建议</w:t>
      </w:r>
    </w:p>
    <w:p>
      <w:r>
        <w:t>除 D-006 活动合规授权边界需要在实验二细化外，其余关键缺陷均已收敛。本轮建议冻结 requirements-v1.0 作为实验二输入，并保留 TBD 清单中的三项议题做后续架构与测试展开。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