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NekoCafé 统一项目概述</w:t>
      </w:r>
    </w:p>
    <w:p>
      <w:pPr>
        <w:jc w:val="center"/>
      </w:pPr>
      <w:r>
        <w:t>课程四次实验共享基线文档</w:t>
      </w:r>
    </w:p>
    <w:p>
      <w:pPr>
        <w:pStyle w:val="Heading1"/>
      </w:pPr>
      <w:r>
        <w:t>1. 项目目标</w:t>
      </w:r>
    </w:p>
    <w:p>
      <w:pPr>
        <w:pStyle w:val="ListBullet"/>
      </w:pPr>
      <w:r>
        <w:t>将四次软件工程实验组织成一个连续演进的项目，而不是四份互相割裂的作业。</w:t>
      </w:r>
    </w:p>
    <w:p>
      <w:pPr>
        <w:pStyle w:val="ListBullet"/>
      </w:pPr>
      <w:r>
        <w:t>用共享的需求、术语、追溯矩阵和命名规则，减少后续实验返工。</w:t>
      </w:r>
    </w:p>
    <w:p>
      <w:pPr>
        <w:pStyle w:val="ListBullet"/>
      </w:pPr>
      <w:r>
        <w:t>为实验三与实验四提前准备统一的 Python monorepo 骨架。</w:t>
      </w:r>
    </w:p>
    <w:p>
      <w:pPr>
        <w:pStyle w:val="Heading1"/>
      </w:pPr>
      <w:r>
        <w:t>2. 案例摘要</w:t>
      </w:r>
    </w:p>
    <w:p>
      <w:r>
        <w:t>案例统一采用 NekoCafé 猫咪主题餐饮预约平台，覆盖顾客预约、会员管理、店员调度、猫咪健康档案和运营分析等业务。</w:t>
      </w:r>
    </w:p>
    <w:p>
      <w:pPr>
        <w:pStyle w:val="Heading1"/>
      </w:pPr>
      <w:r>
        <w:t>3. 干系人与关注点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t>角色</w:t>
            </w:r>
          </w:p>
        </w:tc>
        <w:tc>
          <w:tcPr>
            <w:tcW w:type="dxa" w:w="2882"/>
          </w:tcPr>
          <w:p>
            <w:r>
              <w:t>主要目标</w:t>
            </w:r>
          </w:p>
        </w:tc>
        <w:tc>
          <w:tcPr>
            <w:tcW w:type="dxa" w:w="2882"/>
          </w:tcPr>
          <w:p>
            <w:r>
              <w:t>对应实验关注</w:t>
            </w:r>
          </w:p>
        </w:tc>
      </w:tr>
      <w:tr>
        <w:tc>
          <w:tcPr>
            <w:tcW w:type="dxa" w:w="2882"/>
          </w:tcPr>
          <w:p>
            <w:r>
              <w:t>顾客</w:t>
            </w:r>
          </w:p>
        </w:tc>
        <w:tc>
          <w:tcPr>
            <w:tcW w:type="dxa" w:w="2882"/>
          </w:tcPr>
          <w:p>
            <w:r>
              <w:t>预约便捷、推荐准确、信息透明</w:t>
            </w:r>
          </w:p>
        </w:tc>
        <w:tc>
          <w:tcPr>
            <w:tcW w:type="dxa" w:w="2882"/>
          </w:tcPr>
          <w:p>
            <w:r>
              <w:t>实验一需求获取、实验四用户旅程测试</w:t>
            </w:r>
          </w:p>
        </w:tc>
      </w:tr>
      <w:tr>
        <w:tc>
          <w:tcPr>
            <w:tcW w:type="dxa" w:w="2882"/>
          </w:tcPr>
          <w:p>
            <w:r>
              <w:t>店员</w:t>
            </w:r>
          </w:p>
        </w:tc>
        <w:tc>
          <w:tcPr>
            <w:tcW w:type="dxa" w:w="2882"/>
          </w:tcPr>
          <w:p>
            <w:r>
              <w:t>操作高效、调度顺畅、异常可见</w:t>
            </w:r>
          </w:p>
        </w:tc>
        <w:tc>
          <w:tcPr>
            <w:tcW w:type="dxa" w:w="2882"/>
          </w:tcPr>
          <w:p>
            <w:r>
              <w:t>实验一需求、实验二服务设计</w:t>
            </w:r>
          </w:p>
        </w:tc>
      </w:tr>
      <w:tr>
        <w:tc>
          <w:tcPr>
            <w:tcW w:type="dxa" w:w="2882"/>
          </w:tcPr>
          <w:p>
            <w:r>
              <w:t>运营总监</w:t>
            </w:r>
          </w:p>
        </w:tc>
        <w:tc>
          <w:tcPr>
            <w:tcW w:type="dxa" w:w="2882"/>
          </w:tcPr>
          <w:p>
            <w:r>
              <w:t>跨门店分析、活动与合规</w:t>
            </w:r>
          </w:p>
        </w:tc>
        <w:tc>
          <w:tcPr>
            <w:tcW w:type="dxa" w:w="2882"/>
          </w:tcPr>
          <w:p>
            <w:r>
              <w:t>实验二架构、实验三观测与交付</w:t>
            </w:r>
          </w:p>
        </w:tc>
      </w:tr>
      <w:tr>
        <w:tc>
          <w:tcPr>
            <w:tcW w:type="dxa" w:w="2882"/>
          </w:tcPr>
          <w:p>
            <w:r>
              <w:t>QA/运维</w:t>
            </w:r>
          </w:p>
        </w:tc>
        <w:tc>
          <w:tcPr>
            <w:tcW w:type="dxa" w:w="2882"/>
          </w:tcPr>
          <w:p>
            <w:r>
              <w:t>质量门禁、回滚、定位效率</w:t>
            </w:r>
          </w:p>
        </w:tc>
        <w:tc>
          <w:tcPr>
            <w:tcW w:type="dxa" w:w="2882"/>
          </w:tcPr>
          <w:p>
            <w:r>
              <w:t>实验三流水线、实验四质量工程</w:t>
            </w:r>
          </w:p>
        </w:tc>
      </w:tr>
    </w:tbl>
    <w:p>
      <w:pPr>
        <w:pStyle w:val="Heading1"/>
      </w:pPr>
      <w:r>
        <w:t>4. 统一命名规则</w:t>
      </w:r>
    </w:p>
    <w:p>
      <w:pPr>
        <w:pStyle w:val="ListBullet"/>
      </w:pPr>
      <w:r>
        <w:t>功能需求使用 FR-001 起编号，非功能需求使用 NFR-001 起编号。</w:t>
      </w:r>
    </w:p>
    <w:p>
      <w:pPr>
        <w:pStyle w:val="ListBullet"/>
      </w:pPr>
      <w:r>
        <w:t>用例 ID 使用 UC- 前缀，限界上下文使用 BC- 前缀，服务使用 SVC- 前缀。</w:t>
      </w:r>
    </w:p>
    <w:p>
      <w:pPr>
        <w:pStyle w:val="ListBullet"/>
      </w:pPr>
      <w:r>
        <w:t>自动化测试用例使用 TC- 前缀，并在实验四回填到 RTM 扩展矩阵。</w:t>
      </w:r>
    </w:p>
    <w:p>
      <w:pPr>
        <w:pStyle w:val="ListBullet"/>
      </w:pPr>
      <w:r>
        <w:t>所有术语以 glossary-rtm-master.xlsx 为唯一主源，不在单个实验内重新命名。</w:t>
      </w:r>
    </w:p>
    <w:p>
      <w:pPr>
        <w:pStyle w:val="Heading1"/>
      </w:pPr>
      <w:r>
        <w:t>5. 目录约束</w:t>
      </w:r>
    </w:p>
    <w:p>
      <w:r>
        <w:t>工作区将文档基线、实验产物、工程代码和模板副本分离存放。老师原始任务书与模板保留在外层目录，不在统一工作区内直接覆盖。</w:t>
      </w:r>
    </w:p>
    <w:p>
      <w:pPr>
        <w:pStyle w:val="Heading1"/>
      </w:pPr>
      <w:r>
        <w:t>6. 服务范围基线</w:t>
      </w:r>
    </w:p>
    <w:p>
      <w:pPr>
        <w:pStyle w:val="ListBullet"/>
      </w:pPr>
      <w:r>
        <w:t>可运行范围：reservation-service、member-service。</w:t>
      </w:r>
    </w:p>
    <w:p>
      <w:pPr>
        <w:pStyle w:val="ListBullet"/>
      </w:pPr>
      <w:r>
        <w:t>设计表达范围：order、store-ops、cat-health、recommendation。</w:t>
      </w:r>
    </w:p>
    <w:p>
      <w:pPr>
        <w:pStyle w:val="ListBullet"/>
      </w:pPr>
      <w:r>
        <w:t>实验二至少表达 6 个限界上下文，但实验三和实验四只对两个核心服务做 PoC。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NekoCafé 基座文档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《软件工程》实验报告 — NekoCafé 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