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考古报告图文Pair数据构造 实现代码评估报告</w:t>
      </w:r>
    </w:p>
    <w:p>
      <w:pPr>
        <w:jc w:val="center"/>
      </w:pPr>
      <w:r>
        <w:t>——对照《考古报告图文Pair数据构造技术方案 V0.2》多维度评估</w:t>
      </w:r>
    </w:p>
    <w:p>
      <w:pPr>
        <w:pStyle w:val="Heading1"/>
      </w:pPr>
      <w:r>
        <w:t>0  评估说明</w:t>
      </w:r>
    </w:p>
    <w:p>
      <w:r>
        <w:t>评估对象：ArchaeoPairs 仓库实现代码（src/archaeopairs/ 包 11 个智能体 + 编排/存储/网关/正则，main.py CLI，tests/ 两套单测），基线为 docs/技术方案/考古报告图文Pair数据构造_多智能体方案_V0.2.docx。</w:t>
      </w:r>
    </w:p>
    <w:p>
      <w:r>
        <w:t>方法：通读全部源码与契约文件（schemas/、config/、prompts/）；运行 pytest 全量单测；以 Mock 网关对基准样本《奉节白帝城》做 30 图端到端试跑（无真实模型，验证确定性与 fail-closed 路由）；逐条核对 V0.2 设计要点与附录C契约修订清单（B1–B4）的代码落点。</w:t>
      </w:r>
    </w:p>
    <w:p>
      <w:r>
        <w:t>试跑结果：figures=1461、body_paras=3217、artifact_records=1513；30 图 =&gt; archived=18、blocked_review=2、failed=10、finished=0，模型调用 0 次（Mock），耗时 7.1s。该分布符合 P1“最小链+人工补缺”预期（视觉/OCR 未接入时 fail-closed 入复核/存档）。</w:t>
      </w:r>
    </w:p>
    <w:p>
      <w:r>
        <w:t>pytest：21 passed（test_pipeline 7 + test_regexes 14），0.75s。</w:t>
      </w:r>
    </w:p>
    <w:p>
      <w:pPr>
        <w:pStyle w:val="Heading1"/>
      </w:pPr>
      <w:r>
        <w:t>1  总体结论</w:t>
      </w:r>
    </w:p>
    <w:p>
      <w:r>
        <w:t>总体评级：B+。结构与方案一致性优秀、fail-closed 贯彻彻底；主要差距集中在方案中后段能力（真实模型网关、评测/观测/并行/复核平台）尚未落地，属 P1 阶段预期内的“骨架先行”状态，不构成方向性缺陷。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评级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一句话结论</w:t>
            </w:r>
          </w:p>
        </w:tc>
      </w:tr>
      <w:tr>
        <w:tc>
          <w:tcPr>
            <w:tcW w:type="dxa" w:w="2880"/>
          </w:tcPr>
          <w:p>
            <w:r>
              <w:t>代码结构与工程组织</w:t>
            </w:r>
          </w:p>
        </w:tc>
        <w:tc>
          <w:tcPr>
            <w:tcW w:type="dxa" w:w="2880"/>
          </w:tcPr>
          <w:p>
            <w:r>
              <w:t>A-</w:t>
            </w:r>
          </w:p>
        </w:tc>
        <w:tc>
          <w:tcPr>
            <w:tcW w:type="dxa" w:w="2880"/>
          </w:tcPr>
          <w:p>
            <w:r>
              <w:t>分层清晰、框架中立、接口契约化，优于多数同类实现</w:t>
            </w:r>
          </w:p>
        </w:tc>
      </w:tr>
      <w:tr>
        <w:tc>
          <w:tcPr>
            <w:tcW w:type="dxa" w:w="2880"/>
          </w:tcPr>
          <w:p>
            <w:r>
              <w:t>功能实现与方案一致性</w:t>
            </w:r>
          </w:p>
        </w:tc>
        <w:tc>
          <w:tcPr>
            <w:tcW w:type="dxa" w:w="2880"/>
          </w:tcPr>
          <w:p>
            <w:r>
              <w:t>B+</w:t>
            </w:r>
          </w:p>
        </w:tc>
        <w:tc>
          <w:tcPr>
            <w:tcW w:type="dxa" w:w="2880"/>
          </w:tcPr>
          <w:p>
            <w:r>
              <w:t>双源三链/三防线/幂等/原子写/中断恢复均已落地；视觉与评测段为 TODO</w:t>
            </w:r>
          </w:p>
        </w:tc>
      </w:tr>
      <w:tr>
        <w:tc>
          <w:tcPr>
            <w:tcW w:type="dxa" w:w="2880"/>
          </w:tcPr>
          <w:p>
            <w:r>
              <w:t>代码质量</w:t>
            </w:r>
          </w:p>
        </w:tc>
        <w:tc>
          <w:tcPr>
            <w:tcW w:type="dxa" w:w="2880"/>
          </w:tcPr>
          <w:p>
            <w:r>
              <w:t>A-</w:t>
            </w:r>
          </w:p>
        </w:tc>
        <w:tc>
          <w:tcPr>
            <w:tcW w:type="dxa" w:w="2880"/>
          </w:tcPr>
          <w:p>
            <w:r>
              <w:t>错误分类、fail-closed、provenance、文档注释质量高；个别 provenance 小瑕疵</w:t>
            </w:r>
          </w:p>
        </w:tc>
      </w:tr>
      <w:tr>
        <w:tc>
          <w:tcPr>
            <w:tcW w:type="dxa" w:w="2880"/>
          </w:tcPr>
          <w:p>
            <w:r>
              <w:t>测试与可验证性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21 单测覆盖核心决策与 B1-B3 回归；缺 golden/集成/录制回放体系</w:t>
            </w:r>
          </w:p>
        </w:tc>
      </w:tr>
      <w:tr>
        <w:tc>
          <w:tcPr>
            <w:tcW w:type="dxa" w:w="2880"/>
          </w:tcPr>
          <w:p>
            <w:r>
              <w:t>可维护/可扩展/可观测/安全</w:t>
            </w:r>
          </w:p>
        </w:tc>
        <w:tc>
          <w:tcPr>
            <w:tcW w:type="dxa" w:w="2880"/>
          </w:tcPr>
          <w:p>
            <w:r>
              <w:t>B-</w:t>
            </w:r>
          </w:p>
        </w:tc>
        <w:tc>
          <w:tcPr>
            <w:tcW w:type="dxa" w:w="2880"/>
          </w:tcPr>
          <w:p>
            <w:r>
              <w:t>抽象到位易扩展；观测/日志/并行/复核平台未落地</w:t>
            </w:r>
          </w:p>
        </w:tc>
      </w:tr>
    </w:tbl>
    <w:p>
      <w:r>
        <w:t>结论：代码与 V0.2 方案高度同构，可作为 P1 基线继续演进；建议按第 7 节问题清单分级补齐，优先同步契约与落观测/评测。</w:t>
      </w:r>
    </w:p>
    <w:p>
      <w:pPr>
        <w:pStyle w:val="Heading1"/>
      </w:pPr>
      <w:r>
        <w:t>2  维度一：代码结构与工程组织</w:t>
      </w:r>
    </w:p>
    <w:p>
      <w:pPr>
        <w:pStyle w:val="ListBullet"/>
      </w:pPr>
      <w:r>
        <w:t>分层合理：agents/（11 智能体）、orchestration/（框架中立 DAG+Checkpointer）、storage/（SQLite DDL/目录）、gateway.py（模型网关）、regexes.py（编号治理）、state.py（共享 State+审计链），与方案 §3/§4 分层一一对应。</w:t>
      </w:r>
    </w:p>
    <w:p>
      <w:pPr>
        <w:pStyle w:val="ListBullet"/>
      </w:pPr>
      <w:r>
        <w:t>框架中立落实良好：AgentInterface(ABC) 使智能体不感知 LangGraph/AgentScope；GraphRunner 以“节点序+跳过谓词”表达 DAG，Checkpointer 为 SqliteSaver 的等价实现，满足“PoC 后换框架、业务不重写”的设计立场。</w:t>
      </w:r>
    </w:p>
    <w:p>
      <w:pPr>
        <w:pStyle w:val="ListBullet"/>
      </w:pPr>
      <w:r>
        <w:t>入口清晰：main.py 提供 run/resume 两子命令，CLI 参数与方案 §10 渐进上线语义一致（默认 Mock、fail-closed 入复核）。</w:t>
      </w:r>
    </w:p>
    <w:p>
      <w:pPr>
        <w:pStyle w:val="ListBullet"/>
      </w:pPr>
      <w:r>
        <w:t>契约齐备：schemas/*.schema.json、ddl.sql、regexes.yaml、flags.schema.yaml、prompts/P-*.md、selection_report.md（未冻结模板）均在位，符合“方案+契约文件”交付要求。</w:t>
      </w:r>
    </w:p>
    <w:p>
      <w:pPr>
        <w:pStyle w:val="ListBullet"/>
      </w:pPr>
      <w:r>
        <w:t>不足：仓内未见 pyproject/依赖清单与 CI 配置；tests/ 与方案所述 eval/ 目录命名不一致。</w:t>
      </w:r>
    </w:p>
    <w:p>
      <w:pPr>
        <w:pStyle w:val="Heading1"/>
      </w:pPr>
      <w:r>
        <w:t>3  维度二：功能实现与方案一致性（对照 V0.2）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方案要点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代码落点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一致性</w:t>
            </w:r>
          </w:p>
        </w:tc>
      </w:tr>
      <w:tr>
        <w:tc>
          <w:tcPr>
            <w:tcW w:type="dxa" w:w="2880"/>
          </w:tcPr>
          <w:p>
            <w:r>
              <w:t>一State黑板+审计链</w:t>
            </w:r>
          </w:p>
        </w:tc>
        <w:tc>
          <w:tcPr>
            <w:tcW w:type="dxa" w:w="2880"/>
          </w:tcPr>
          <w:p>
            <w:r>
              <w:t>state.py PairState/AgentMessage，emit() 追加 messages</w:t>
            </w:r>
          </w:p>
        </w:tc>
        <w:tc>
          <w:tcPr>
            <w:tcW w:type="dxa" w:w="2880"/>
          </w:tcPr>
          <w:p>
            <w:r>
              <w:t>一致</w:t>
            </w:r>
          </w:p>
        </w:tc>
      </w:tr>
      <w:tr>
        <w:tc>
          <w:tcPr>
            <w:tcW w:type="dxa" w:w="2880"/>
          </w:tcPr>
          <w:p>
            <w:r>
              <w:t>框架中立DAG+条件路由</w:t>
            </w:r>
          </w:p>
        </w:tc>
        <w:tc>
          <w:tcPr>
            <w:tcW w:type="dxa" w:w="2880"/>
          </w:tcPr>
          <w:p>
            <w:r>
              <w:t>graph.py NODE_ORDER+_skip（non/plate/type_a 路由）</w:t>
            </w:r>
          </w:p>
        </w:tc>
        <w:tc>
          <w:tcPr>
            <w:tcW w:type="dxa" w:w="2880"/>
          </w:tcPr>
          <w:p>
            <w:r>
              <w:t>一致</w:t>
            </w:r>
          </w:p>
        </w:tc>
      </w:tr>
      <w:tr>
        <w:tc>
          <w:tcPr>
            <w:tcW w:type="dxa" w:w="2880"/>
          </w:tcPr>
          <w:p>
            <w:r>
              <w:t>interrupt/resume</w:t>
            </w:r>
          </w:p>
        </w:tc>
        <w:tc>
          <w:tcPr>
            <w:tcW w:type="dxa" w:w="2880"/>
          </w:tcPr>
          <w:p>
            <w:r>
              <w:t>ReviewRequired→checkpoint 持久化+blocked_review；resume 按 kind 重放 A4/A5/A1b/A8</w:t>
            </w:r>
          </w:p>
        </w:tc>
        <w:tc>
          <w:tcPr>
            <w:tcW w:type="dxa" w:w="2880"/>
          </w:tcPr>
          <w:p>
            <w:r>
              <w:t>一致</w:t>
            </w:r>
          </w:p>
        </w:tc>
      </w:tr>
      <w:tr>
        <w:tc>
          <w:tcPr>
            <w:tcW w:type="dxa" w:w="2880"/>
          </w:tcPr>
          <w:p>
            <w:r>
              <w:t>fail-closed 三防线</w:t>
            </w:r>
          </w:p>
        </w:tc>
        <w:tc>
          <w:tcPr>
            <w:tcW w:type="dxa" w:w="2880"/>
          </w:tcPr>
          <w:p>
            <w:r>
              <w:t>A4 事前仲裁/A8 只降不升/人工复核；Mock 保守不伪造高置信</w:t>
            </w:r>
          </w:p>
        </w:tc>
        <w:tc>
          <w:tcPr>
            <w:tcW w:type="dxa" w:w="2880"/>
          </w:tcPr>
          <w:p>
            <w:r>
              <w:t>一致</w:t>
            </w:r>
          </w:p>
        </w:tc>
      </w:tr>
      <w:tr>
        <w:tc>
          <w:tcPr>
            <w:tcW w:type="dxa" w:w="2880"/>
          </w:tcPr>
          <w:p>
            <w:r>
              <w:t>双源三链</w:t>
            </w:r>
          </w:p>
        </w:tc>
        <w:tc>
          <w:tcPr>
            <w:tcW w:type="dxa" w:w="2880"/>
          </w:tcPr>
          <w:p>
            <w:r>
              <w:t>A1a(链①图注)+A1b(链②正文)+A3(链③OCR)→A1c→A4 三链互证</w:t>
            </w:r>
          </w:p>
        </w:tc>
        <w:tc>
          <w:tcPr>
            <w:tcW w:type="dxa" w:w="2880"/>
          </w:tcPr>
          <w:p>
            <w:r>
              <w:t>一致</w:t>
            </w:r>
          </w:p>
        </w:tc>
      </w:tr>
      <w:tr>
        <w:tc>
          <w:tcPr>
            <w:tcW w:type="dxa" w:w="2880"/>
          </w:tcPr>
          <w:p>
            <w:r>
              <w:t>图注四形态+范围/同号</w:t>
            </w:r>
          </w:p>
        </w:tc>
        <w:tc>
          <w:tcPr>
            <w:tcW w:type="dxa" w:w="2880"/>
          </w:tcPr>
          <w:p>
            <w:r>
              <w:t>regexes.parse_figure_note 四形态，范围按位置序、同号拆Pair共享</w:t>
            </w:r>
          </w:p>
        </w:tc>
        <w:tc>
          <w:tcPr>
            <w:tcW w:type="dxa" w:w="2880"/>
          </w:tcPr>
          <w:p>
            <w:r>
              <w:t>一致</w:t>
            </w:r>
          </w:p>
        </w:tc>
      </w:tr>
      <w:tr>
        <w:tc>
          <w:tcPr>
            <w:tcW w:type="dxa" w:w="2880"/>
          </w:tcPr>
          <w:p>
            <w:r>
              <w:t>编号归一 B1-B3</w:t>
            </w:r>
          </w:p>
        </w:tc>
        <w:tc>
          <w:tcPr>
            <w:tcW w:type="dxa" w:w="2880"/>
          </w:tcPr>
          <w:p>
            <w:r>
              <w:t>regexes.normalize_artifact_id 数字开头/多段子编号/圈号映射，original 保留</w:t>
            </w:r>
          </w:p>
        </w:tc>
        <w:tc>
          <w:tcPr>
            <w:tcW w:type="dxa" w:w="2880"/>
          </w:tcPr>
          <w:p>
            <w:r>
              <w:t>一致</w:t>
            </w:r>
          </w:p>
        </w:tc>
      </w:tr>
      <w:tr>
        <w:tc>
          <w:tcPr>
            <w:tcW w:type="dxa" w:w="2880"/>
          </w:tcPr>
          <w:p>
            <w:r>
              <w:t>幂等键+原子写</w:t>
            </w:r>
          </w:p>
        </w:tc>
        <w:tc>
          <w:tcPr>
            <w:tcW w:type="dxa" w:w="2880"/>
          </w:tcPr>
          <w:p>
            <w:r>
              <w:t>state.idem_key；A7 tmp+rename；figures.idem_key 唯一索引</w:t>
            </w:r>
          </w:p>
        </w:tc>
        <w:tc>
          <w:tcPr>
            <w:tcW w:type="dxa" w:w="2880"/>
          </w:tcPr>
          <w:p>
            <w:r>
              <w:t>一致</w:t>
            </w:r>
          </w:p>
        </w:tc>
      </w:tr>
      <w:tr>
        <w:tc>
          <w:tcPr>
            <w:tcW w:type="dxa" w:w="2880"/>
          </w:tcPr>
          <w:p>
            <w:r>
              <w:t>熔断/重试/录制回放</w:t>
            </w:r>
          </w:p>
        </w:tc>
        <w:tc>
          <w:tcPr>
            <w:tcW w:type="dxa" w:w="2880"/>
          </w:tcPr>
          <w:p>
            <w:r>
              <w:t>gateway.CircuitBreaker(60s/50%/120s/3探针)+RecordingGateway</w:t>
            </w:r>
          </w:p>
        </w:tc>
        <w:tc>
          <w:tcPr>
            <w:tcW w:type="dxa" w:w="2880"/>
          </w:tcPr>
          <w:p>
            <w:r>
              <w:t>一致</w:t>
            </w:r>
          </w:p>
        </w:tc>
      </w:tr>
      <w:tr>
        <w:tc>
          <w:tcPr>
            <w:tcW w:type="dxa" w:w="2880"/>
          </w:tcPr>
          <w:p>
            <w:r>
              <w:t>规则B合并/禁拆</w:t>
            </w:r>
          </w:p>
        </w:tc>
        <w:tc>
          <w:tcPr>
            <w:tcW w:type="dxa" w:w="2880"/>
          </w:tcPr>
          <w:p>
            <w:r>
              <w:t>A4 id_to_seqs 多seq→rule_b</w:t>
            </w:r>
          </w:p>
        </w:tc>
        <w:tc>
          <w:tcPr>
            <w:tcW w:type="dxa" w:w="2880"/>
          </w:tcPr>
          <w:p>
            <w:r>
              <w:t>一致</w:t>
            </w:r>
          </w:p>
        </w:tc>
      </w:tr>
      <w:tr>
        <w:tc>
          <w:tcPr>
            <w:tcW w:type="dxa" w:w="2880"/>
          </w:tcPr>
          <w:p>
            <w:r>
              <w:t>比例尺三级归属</w:t>
            </w:r>
          </w:p>
        </w:tc>
        <w:tc>
          <w:tcPr>
            <w:tcW w:type="dxa" w:w="2880"/>
          </w:tcPr>
          <w:p>
            <w:r>
              <w:t>A5 注释列明流程；实际 SAM/归属未接入（TODO）</w:t>
            </w:r>
          </w:p>
        </w:tc>
        <w:tc>
          <w:tcPr>
            <w:tcW w:type="dxa" w:w="2880"/>
          </w:tcPr>
          <w:p>
            <w:r>
              <w:t>部分</w:t>
            </w:r>
          </w:p>
        </w:tc>
      </w:tr>
      <w:tr>
        <w:tc>
          <w:tcPr>
            <w:tcW w:type="dxa" w:w="2880"/>
          </w:tcPr>
          <w:p>
            <w:r>
              <w:t>A5 掩膜分割/A6 版面</w:t>
            </w:r>
          </w:p>
        </w:tc>
        <w:tc>
          <w:tcPr>
            <w:tcW w:type="dxa" w:w="2880"/>
          </w:tcPr>
          <w:p>
            <w:r>
              <w:t>fail-closed 占位（SAM/layout 未接入）</w:t>
            </w:r>
          </w:p>
        </w:tc>
        <w:tc>
          <w:tcPr>
            <w:tcW w:type="dxa" w:w="2880"/>
          </w:tcPr>
          <w:p>
            <w:r>
              <w:t>占位</w:t>
            </w:r>
          </w:p>
        </w:tc>
      </w:tr>
      <w:tr>
        <w:tc>
          <w:tcPr>
            <w:tcW w:type="dxa" w:w="2880"/>
          </w:tcPr>
          <w:p>
            <w:r>
              <w:t>真实模型网关(vlm/sam/ocr-serve)</w:t>
            </w:r>
          </w:p>
        </w:tc>
        <w:tc>
          <w:tcPr>
            <w:tcW w:type="dxa" w:w="2880"/>
          </w:tcPr>
          <w:p>
            <w:r>
              <w:t>仅 MockGateway，HTTP 客户端为 TODO</w:t>
            </w:r>
          </w:p>
        </w:tc>
        <w:tc>
          <w:tcPr>
            <w:tcW w:type="dxa" w:w="2880"/>
          </w:tcPr>
          <w:p>
            <w:r>
              <w:t>缺失(预期)</w:t>
            </w:r>
          </w:p>
        </w:tc>
      </w:tr>
      <w:tr>
        <w:tc>
          <w:tcPr>
            <w:tcW w:type="dxa" w:w="2880"/>
          </w:tcPr>
          <w:p>
            <w:r>
              <w:t>评测闭环 golden/eval/metrics</w:t>
            </w:r>
          </w:p>
        </w:tc>
        <w:tc>
          <w:tcPr>
            <w:tcW w:type="dxa" w:w="2880"/>
          </w:tcPr>
          <w:p>
            <w:r>
              <w:t>无 eval/、无 golden、agent_metrics 仅建表未写</w:t>
            </w:r>
          </w:p>
        </w:tc>
        <w:tc>
          <w:tcPr>
            <w:tcW w:type="dxa" w:w="2880"/>
          </w:tcPr>
          <w:p>
            <w:r>
              <w:t>缺失(预期)</w:t>
            </w:r>
          </w:p>
        </w:tc>
      </w:tr>
      <w:tr>
        <w:tc>
          <w:tcPr>
            <w:tcW w:type="dxa" w:w="2880"/>
          </w:tcPr>
          <w:p>
            <w:r>
              <w:t>可观测日志/轮转/脱敏</w:t>
            </w:r>
          </w:p>
        </w:tc>
        <w:tc>
          <w:tcPr>
            <w:tcW w:type="dxa" w:w="2880"/>
          </w:tcPr>
          <w:p>
            <w:r>
              <w:t>仅 model_calls.jsonl 录制；A8 描述截断512；无日志框架</w:t>
            </w:r>
          </w:p>
        </w:tc>
        <w:tc>
          <w:tcPr>
            <w:tcW w:type="dxa" w:w="2880"/>
          </w:tcPr>
          <w:p>
            <w:r>
              <w:t>部分</w:t>
            </w:r>
          </w:p>
        </w:tc>
      </w:tr>
    </w:tbl>
    <w:p>
      <w:pPr>
        <w:pStyle w:val="Heading1"/>
      </w:pPr>
      <w:r>
        <w:t>4  维度三：代码质量</w:t>
      </w:r>
    </w:p>
    <w:p>
      <w:pPr>
        <w:pStyle w:val="ListBullet"/>
      </w:pPr>
      <w:r>
        <w:t>错误处理优秀：ErrorCode 枚举与 schemas alarms 对齐；ReviewRequired 与 AgentError(fatal) 二分，graph 层统一捕获并持久化现场，未分类异常亦 fail-closed，杜绝静默错误。</w:t>
      </w:r>
    </w:p>
    <w:p>
      <w:pPr>
        <w:pStyle w:val="ListBullet"/>
      </w:pPr>
      <w:r>
        <w:t>provenance 贯穿：A4 逐 seq 记录 source/agents/confidence，A7 聚合最低置信与最强来源，original 字段保留溯源，符合“可溯”目标。</w:t>
      </w:r>
    </w:p>
    <w:p>
      <w:pPr>
        <w:pStyle w:val="ListBullet"/>
      </w:pPr>
      <w:r>
        <w:t>文档注释充分：每模块 docstring 标明方案章节、决策树、边界（A2 判类别/A3 判完备、A4 事前/A8 事后），降低维护成本。</w:t>
      </w:r>
    </w:p>
    <w:p>
      <w:pPr>
        <w:pStyle w:val="ListBullet"/>
      </w:pPr>
      <w:r>
        <w:t>类型注解基本完备（dataclass+typing），但 State/产物多为 dict，未用 TypedDict/Pydantic 做强校验，“编译期 Schema 校验”目标未完全达成。</w:t>
      </w:r>
    </w:p>
    <w:p>
      <w:pPr>
        <w:pStyle w:val="ListBullet"/>
      </w:pPr>
      <w:r>
        <w:t>小瑕疵：A7 pair[original_id] 恒等于归一化 artifact_id（未携带真实原始形），provenance 略有损失；A1b/A1c 的 seq 类型 int/str 混用靠 str() 兜底。</w:t>
      </w:r>
    </w:p>
    <w:p>
      <w:pPr>
        <w:pStyle w:val="Heading1"/>
      </w:pPr>
      <w:r>
        <w:t>5  维度四：测试与可验证性</w:t>
      </w:r>
    </w:p>
    <w:p>
      <w:pPr>
        <w:pStyle w:val="ListBullet"/>
      </w:pPr>
      <w:r>
        <w:t>21 单测全绿：覆盖 A1a 直接映射/残差降级、A4 完全一致/规则B/冲突不可解/单源、graph 中断-恢复，以及 regexes B1-B3 与图注四形态回归，构成附录C修订的回归门禁。</w:t>
      </w:r>
    </w:p>
    <w:p>
      <w:pPr>
        <w:pStyle w:val="ListBullet"/>
      </w:pPr>
      <w:r>
        <w:t>缺口：无 golden set 驱动评测、无集成测试（多Agent串联真实 XML 全链）、无 VLM/SAM 录制回放单测（RecordingGateway 已具备回放能力但未被单测利用）、无 eval/metrics.py 复算。</w:t>
      </w:r>
    </w:p>
    <w:p>
      <w:pPr>
        <w:pStyle w:val="Heading1"/>
      </w:pPr>
      <w:r>
        <w:t>6  维度五：可维护/可扩展/可观测/安全</w:t>
      </w:r>
    </w:p>
    <w:p>
      <w:pPr>
        <w:pStyle w:val="ListBullet"/>
      </w:pPr>
      <w:r>
        <w:t>可维护/扩展：AgentInterface+注册表使新增 Agent 低成本；strategy_hooks 预留 A4 仲裁可插拔；flags 三层配置在位。</w:t>
      </w:r>
    </w:p>
    <w:p>
      <w:pPr>
        <w:pStyle w:val="ListBullet"/>
      </w:pPr>
      <w:r>
        <w:t>可观测：trace_id 贯穿 State 与录制；但 agent_metrics 表无写入、无结构化日志与轮转、无看板/告警通道，距 §8.2 有差距。</w:t>
      </w:r>
    </w:p>
    <w:p>
      <w:pPr>
        <w:pStyle w:val="ListBullet"/>
      </w:pPr>
      <w:r>
        <w:t>并行：NODE_ORDER 顺序执行，注释承认并行化由适配层负责（TODO）；wall-time≤2h 目标需 PoC 适配层后验证。</w:t>
      </w:r>
    </w:p>
    <w:p>
      <w:pPr>
        <w:pStyle w:val="ListBullet"/>
      </w:pPr>
      <w:r>
        <w:t>安全：本地 Mock 无外联，天然不出域；A8 描述截断为部分脱敏；RBAC/审计/Label Studio 鉴权未落地（预期后续）。</w:t>
      </w:r>
    </w:p>
    <w:p>
      <w:pPr>
        <w:pStyle w:val="Heading1"/>
      </w:pPr>
      <w:r>
        <w:t>7  问题清单与修复建议（分级）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问题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位置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建议</w:t>
            </w:r>
          </w:p>
        </w:tc>
      </w:tr>
      <w:tr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契约与代码不同源：config/regexes.yaml 的 artifact_id/子编号正则仍为旧版（字母开头、单段子编号），与 regexes.py(B1/B2) 偏离</w:t>
            </w:r>
          </w:p>
        </w:tc>
        <w:tc>
          <w:tcPr>
            <w:tcW w:type="dxa" w:w="2160"/>
          </w:tcPr>
          <w:p>
            <w:r>
              <w:t>config/regexes.yaml vs regexes.py</w:t>
            </w:r>
          </w:p>
        </w:tc>
        <w:tc>
          <w:tcPr>
            <w:tcW w:type="dxa" w:w="2160"/>
          </w:tcPr>
          <w:p>
            <w:r>
              <w:t>按评审决议本轮冻结契约，则须在 P0 启动前将 regexes.py 回写 yaml 并单测同口径；或改为由代码生成 yaml，杜绝双源</w:t>
            </w:r>
          </w:p>
        </w:tc>
      </w:tr>
      <w:tr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评测/观测未落地：无 eval/、golden、metrics.py；agent_metrics 仅建表未写；无日志轮转</w:t>
            </w:r>
          </w:p>
        </w:tc>
        <w:tc>
          <w:tcPr>
            <w:tcW w:type="dxa" w:w="2160"/>
          </w:tcPr>
          <w:p>
            <w:r>
              <w:t>storage/db.py、gateway.py</w:t>
            </w:r>
          </w:p>
        </w:tc>
        <w:tc>
          <w:tcPr>
            <w:tcW w:type="dxa" w:w="2160"/>
          </w:tcPr>
          <w:p>
            <w:r>
              <w:t>补 eval/ 目录与 RecordingGateway 回放单测；在 graph 层按节点写 agent_metrics；引入 logging+RotatingFileHandler+脱敏</w:t>
            </w:r>
          </w:p>
        </w:tc>
      </w:tr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original_id 恒等于归一化 ID，provenance 损失</w:t>
            </w:r>
          </w:p>
        </w:tc>
        <w:tc>
          <w:tcPr>
            <w:tcW w:type="dxa" w:w="2160"/>
          </w:tcPr>
          <w:p>
            <w:r>
              <w:t>a7_assemble.py</w:t>
            </w:r>
          </w:p>
        </w:tc>
        <w:tc>
          <w:tcPr>
            <w:tcW w:type="dxa" w:w="2160"/>
          </w:tcPr>
          <w:p>
            <w:r>
              <w:t>在 text_side 增加 id_to_original 并由 A7 回填</w:t>
            </w:r>
          </w:p>
        </w:tc>
      </w:tr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seq 类型 int/str 混用</w:t>
            </w:r>
          </w:p>
        </w:tc>
        <w:tc>
          <w:tcPr>
            <w:tcW w:type="dxa" w:w="2160"/>
          </w:tcPr>
          <w:p>
            <w:r>
              <w:t>a1b/a1c</w:t>
            </w:r>
          </w:p>
        </w:tc>
        <w:tc>
          <w:tcPr>
            <w:tcW w:type="dxa" w:w="2160"/>
          </w:tcPr>
          <w:p>
            <w:r>
              <w:t>统一为 str 并在 Schema 约束</w:t>
            </w:r>
          </w:p>
        </w:tc>
      </w:tr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tests/ 与方案 eval/ 命名不一致</w:t>
            </w:r>
          </w:p>
        </w:tc>
        <w:tc>
          <w:tcPr>
            <w:tcW w:type="dxa" w:w="2160"/>
          </w:tcPr>
          <w:p>
            <w:r>
              <w:t>tests/</w:t>
            </w:r>
          </w:p>
        </w:tc>
        <w:tc>
          <w:tcPr>
            <w:tcW w:type="dxa" w:w="2160"/>
          </w:tcPr>
          <w:p>
            <w:r>
              <w:t>统一目录命名或在方案中说明映射</w:t>
            </w:r>
          </w:p>
        </w:tc>
      </w:tr>
      <w:tr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真实模型网关/ SAM/ layout 服务为 TODO</w:t>
            </w:r>
          </w:p>
        </w:tc>
        <w:tc>
          <w:tcPr>
            <w:tcW w:type="dxa" w:w="2160"/>
          </w:tcPr>
          <w:p>
            <w:r>
              <w:t>gateway.py、a5、a6</w:t>
            </w:r>
          </w:p>
        </w:tc>
        <w:tc>
          <w:tcPr>
            <w:tcW w:type="dxa" w:w="2160"/>
          </w:tcPr>
          <w:p>
            <w:r>
              <w:t>P0/P2 按 §9.1 接 HTTP 客户端，接口签名不变</w:t>
            </w:r>
          </w:p>
        </w:tc>
      </w:tr>
    </w:tbl>
    <w:p>
      <w:r>
        <w:t>说明：regexes.yaml 不同源为已知评审决议（本轮不改契约），故列为 P1 跟踪项而非径改；如需我直接修复 P2 级小瑕疵（original_id、seq 类型），可在确认后低风险落地。</w:t>
      </w:r>
    </w:p>
    <w:p>
      <w:pPr>
        <w:pStyle w:val="Heading1"/>
      </w:pPr>
      <w:r>
        <w:t>8  亮点</w:t>
      </w:r>
    </w:p>
    <w:p>
      <w:pPr>
        <w:pStyle w:val="ListBullet"/>
      </w:pPr>
      <w:r>
        <w:t>fail-closed 不是口号而是贯穿网关/智能体/编排三层的工程事实，Mock 保守策略确保“宁复核不猜测”。</w:t>
      </w:r>
    </w:p>
    <w:p>
      <w:pPr>
        <w:pStyle w:val="ListBullet"/>
      </w:pPr>
      <w:r>
        <w:t>框架中立抽象（AgentInterface+中立DAG+等价Checkpointer）使“编排待选”从方案文字变成可执行结构。</w:t>
      </w:r>
    </w:p>
    <w:p>
      <w:pPr>
        <w:pStyle w:val="ListBullet"/>
      </w:pPr>
      <w:r>
        <w:t>编号治理（B1-B3）以数据实测驱动并配回归单测，体现“实测→契约→代码→测试”闭环。</w:t>
      </w:r>
    </w:p>
    <w:p>
      <w:pPr>
        <w:pStyle w:val="Heading1"/>
      </w:pPr>
      <w:r>
        <w:t>9  结论与下一步</w:t>
      </w:r>
    </w:p>
    <w:p>
      <w:r>
        <w:t>代码与 V0.2 方案同构度高、工程质量好，评级 B+，可作为 P1 基线。下一步建议：① P0 完成编排 PoC 与选型冻结（selection_report.md 已备模板）；② 同步契约/落观测与评测（P1 项）；③ 按 §9.1 接入真实模型网关后重跑端到端，验证 finished 占比与成本三档假设。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