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 w:line="324" w:lineRule="auto"/>
        <w:jc w:val="center"/>
      </w:pPr>
      <w:r>
        <w:rPr>
          <w:rFonts w:ascii="黑体" w:hAnsi="黑体" w:eastAsia="黑体"/>
          <w:b/>
          <w:sz w:val="44"/>
        </w:rPr>
        <w:t>bigAagent</w:t>
      </w:r>
    </w:p>
    <w:p>
      <w:pPr>
        <w:spacing w:after="360" w:line="324" w:lineRule="auto"/>
        <w:jc w:val="center"/>
      </w:pPr>
      <w:r>
        <w:rPr>
          <w:rFonts w:ascii="黑体" w:hAnsi="黑体" w:eastAsia="黑体"/>
          <w:b/>
          <w:sz w:val="36"/>
        </w:rPr>
        <w:t>私人投研模拟器  使用说明书</w:t>
      </w:r>
    </w:p>
    <w:p>
      <w:pPr>
        <w:spacing w:after="160" w:line="324" w:lineRule="auto"/>
        <w:jc w:val="center"/>
      </w:pPr>
      <w:r>
        <w:rPr>
          <w:rFonts w:ascii="黑体" w:hAnsi="黑体" w:eastAsia="黑体"/>
          <w:b w:val="0"/>
          <w:sz w:val="28"/>
        </w:rPr>
        <w:t>A 股研究辅助工作台  V0.1.0</w:t>
      </w:r>
    </w:p>
    <w:p>
      <w:pPr>
        <w:spacing w:after="480" w:line="324" w:lineRule="auto"/>
        <w:jc w:val="center"/>
      </w:pPr>
      <w:r>
        <w:rPr>
          <w:rFonts w:ascii="宋体" w:hAnsi="宋体" w:eastAsia="宋体"/>
          <w:b w:val="0"/>
          <w:sz w:val="24"/>
        </w:rPr>
        <w:t>延迟行情 · 研究辅助 · 非投资建议</w:t>
      </w:r>
    </w:p>
    <w:p>
      <w:pPr>
        <w:spacing w:after="160" w:line="324" w:lineRule="auto"/>
        <w:jc w:val="center"/>
      </w:pPr>
      <w:r>
        <w:rPr>
          <w:rFonts w:ascii="宋体" w:hAnsi="宋体" w:eastAsia="宋体"/>
          <w:b w:val="0"/>
          <w:sz w:val="21"/>
        </w:rPr>
        <w:t>所有界面截图均来自本软件实际运行状态。示例标的为五粮液（000858），行情采集时间为 2026年9月4日 14:47。</w:t>
      </w:r>
    </w:p>
    <w:p>
      <w:r>
        <w:br w:type="page"/>
      </w:r>
    </w:p>
    <w:p>
      <w:pPr>
        <w:spacing w:before="280" w:after="160"/>
        <w:ind w:firstLine="0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after="80" w:line="324" w:lineRule="auto"/>
      </w:pPr>
      <w:r>
        <w:rPr>
          <w:rFonts w:ascii="宋体" w:hAnsi="宋体" w:eastAsia="宋体"/>
          <w:b w:val="0"/>
          <w:sz w:val="24"/>
        </w:rPr>
        <w:t>第一部分  软件简介 ................................................ 3</w:t>
      </w:r>
    </w:p>
    <w:p>
      <w:pPr>
        <w:spacing w:after="80" w:line="324" w:lineRule="auto"/>
      </w:pPr>
      <w:r>
        <w:rPr>
          <w:rFonts w:ascii="宋体" w:hAnsi="宋体" w:eastAsia="宋体"/>
          <w:b w:val="0"/>
          <w:sz w:val="24"/>
        </w:rPr>
        <w:t>第二部分  安装说明 ................................................ 5</w:t>
      </w:r>
    </w:p>
    <w:p>
      <w:pPr>
        <w:spacing w:after="80" w:line="324" w:lineRule="auto"/>
      </w:pPr>
      <w:r>
        <w:rPr>
          <w:rFonts w:ascii="宋体" w:hAnsi="宋体" w:eastAsia="宋体"/>
          <w:b w:val="0"/>
          <w:sz w:val="24"/>
        </w:rPr>
        <w:t>第三部分  使用手册 ................................................ 7</w:t>
      </w:r>
    </w:p>
    <w:p>
      <w:r>
        <w:br w:type="page"/>
      </w:r>
    </w:p>
    <w:p>
      <w:pPr>
        <w:spacing w:before="280" w:after="160"/>
        <w:ind w:firstLine="0"/>
      </w:pPr>
      <w:r>
        <w:rPr>
          <w:rFonts w:ascii="黑体" w:hAnsi="黑体" w:eastAsia="黑体"/>
          <w:b/>
          <w:sz w:val="32"/>
        </w:rPr>
        <w:t>第一部分  软件简介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bigAagent V0.1.0 面向 A 股研究辅助需求，提供延迟行情浏览、四维首次分析、模拟账户记账、手动追踪复核、用户口径沉淀与专家私有记忆展示。用户在本机启动 Web 服务后，用浏览器打开工作台，按“分析—投入—追踪—沉淀”完成一次完整研究链路。学费停在模拟盘，不连接实盘交易通道。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系统里只有五位业务 Agent：基本面、技术面、情绪、宏观与追踪。首次研究由应用层并行叫醒四位分析专家，再由系统做综合决策；追踪由追踪 Agent 对照原判断决定维持、复核或证伪。综合决策、编排、校验与落盘是 Python 系统环节，不包装成第六个 Agent。对外口径始终是研究辅助，不是投资建议。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1.1  软件名称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中文：bigAagent 私人投研模拟器 / A 股研究工作台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英文：bigAagent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简称：bA / bigAagent  V0.1.0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1.2  软件适用行业与用途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适用领域：A 股研究辅助、投研流程演练、多 Agent 协作实验、模拟组合记账及相关个人学习。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用途：在延迟行情上并行完成基本面、技术面、情绪与宏观分析，由用户决定是否用虚拟资金投入，并在需要时手动触发追踪；记住的口径须过闸门，专家只继承自己的私有记忆。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1.3  软件开发平台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软件运行平台：macOS、Windows、Linux（本机浏览器访问本地服务）。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编程语言：Python 3.9 及以上；前端为静态 HTML / JavaScript / CSS。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版本号：V0.1.0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程序量：约 18953 行源代码（src 下 Python、JavaScript、CSS、HTML）。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1.4  创作目的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（1）把研究、决策、追踪和纪律留在同一条链路上，避免“看完研报另开交易软件、下次分析忘掉上次主张”。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（2）用四位分权专家交卷，主张必须对上当轮快照；追踪对照原判断，而不是每天重写一份荐股。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（3）用户口径不落原话、不当行情证据；专家记忆按角色隔离；知识库短卡片须人批准后才可被检索。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（4）虚拟资金按延迟价成交，把试错成本停在模拟盘。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1.5  系统总流程图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一次典型路径为：启动本地服务并打开封面 → 进入工作台并采集延迟行情 → 搜索标的并打开详情 → 四专家并行完成首次分析 → 用户决定是否模拟投入 → 需要时手动追踪 → 在用户画像与专家工作台查看沉淀。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2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图1-1  bigAagent 一次研究主路径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1.6  主要功能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（1）封面与工作台导航模块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启动后首先显示项目封面，说明五位专家职责与“非投资建议”口径。点击“进入工作台”后，可通过封面、市场、自选、模拟账户、用户画像、专家工作台六个入口切换。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（2）延迟行情采集与市场浏览模块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点击“采集行情”将全市场延迟报价写入本地库。市场页可按代码或名称查询、分页浏览，并打开单标的详情。页眉会提示数据可能过期及最近一次成功采集时间。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（3）四维首次分析模块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在标的详情中可补充本轮口径（可空），点击“开始首次分析”。基本面、技术面、情绪、宏观四位专家并行交卷，系统给出综合决策。完成后显示四维结论、重要留意、已记住口径以及各专家是否沿用上次记忆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（4）反馈与按维重跑模块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对结论不满意时，可在反馈框写要求并“提交并按需重跑”。带“记住”且过闸门的短规则会留下；点名某一维可只重跑该维。用户原话不存盘，不作为行情证据。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（5）模拟投资与选股记忆模块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首次分析完成后解锁投入。填写数量与买入理由，按当前延迟价用虚拟资金成交。持仓随行情重估。买入理由进入选股记忆；也可只加入自选、不买。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（6）手动追踪模块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有研究基线后，由用户选择时间触发追踪。追踪 Agent 对照原判断输出维持、需要复核或原判断失效，并可指出继续盯紧的条件。没有按小时自动巡检。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（7）用户画像与专家工作台模块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用户画像由模型根据已记住口径、选股记忆与模拟行为归纳，不存原话，可停用口径并重新生成画像。专家工作台按角色展示跨标的经验；“分次分析记录”默认收起。追踪不能改写四位分析专家的 State。</w:t>
      </w:r>
    </w:p>
    <w:p>
      <w:pPr>
        <w:spacing w:before="280" w:after="160"/>
        <w:ind w:firstLine="0"/>
      </w:pPr>
      <w:r>
        <w:rPr>
          <w:rFonts w:ascii="黑体" w:hAnsi="黑体" w:eastAsia="黑体"/>
          <w:b/>
          <w:sz w:val="32"/>
        </w:rPr>
        <w:t>第二部分  安装说明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2.1  软件运行环境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本软件为本地 Web 应用：后端 FastAPI 服务与研究队列在本机运行，前端由浏览器打开。分析、追踪与画像生成需要模型密钥；仅浏览已入库行情不需要密钥。运行环境见表2-1。</w:t>
      </w:r>
    </w:p>
    <w:p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24"/>
        </w:rPr>
        <w:t>表2-1 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黑体" w:hAnsi="黑体" w:eastAsia="黑体"/>
                <w:b/>
                <w:sz w:val="21"/>
              </w:rPr>
              <w:t>最低硬件配置</w:t>
            </w:r>
          </w:p>
        </w:tc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64 位处理器，8GB 及以上内存，2GB 以上可用磁盘；可用集成显卡。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黑体" w:hAnsi="黑体" w:eastAsia="黑体"/>
                <w:b/>
                <w:sz w:val="21"/>
              </w:rPr>
              <w:t>推荐硬件配置</w:t>
            </w:r>
          </w:p>
        </w:tc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Apple Silicon 或同级 x86 四核以上，16GB 内存，固态硬盘。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黑体" w:hAnsi="黑体" w:eastAsia="黑体"/>
                <w:b/>
                <w:sz w:val="21"/>
              </w:rPr>
              <w:t>客户端操作系统</w:t>
            </w:r>
          </w:p>
        </w:tc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macOS、Windows 10/11 或常见 Linux 发行版。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黑体" w:hAnsi="黑体" w:eastAsia="黑体"/>
                <w:b/>
                <w:sz w:val="21"/>
              </w:rPr>
              <w:t>Python 环境</w:t>
            </w:r>
          </w:p>
        </w:tc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3.9 及以上，建议使用仓库内虚拟环境 .venv。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黑体" w:hAnsi="黑体" w:eastAsia="黑体"/>
                <w:b/>
                <w:sz w:val="21"/>
              </w:rPr>
              <w:t>支撑软件</w:t>
            </w:r>
          </w:p>
        </w:tc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现代浏览器（Chrome / Safari / Edge 等）；看板 extra 含 FastAPI、Uvicorn、AkShare。</w:t>
            </w:r>
          </w:p>
        </w:tc>
      </w:tr>
      <w:tr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黑体" w:hAnsi="黑体" w:eastAsia="黑体"/>
                <w:b/>
                <w:sz w:val="21"/>
              </w:rPr>
              <w:t>模型服务</w:t>
            </w:r>
          </w:p>
        </w:tc>
        <w:tc>
          <w:tcPr>
            <w:tcW w:type="dxa" w:w="453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分析 / 追踪 / 画像需配置 DEEPSEEK_API_KEY；默认模型为 deepseek-v4-flash。</w:t>
            </w:r>
          </w:p>
        </w:tc>
      </w:tr>
    </w:tbl>
    <w:p/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2.2  安装过程说明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（1）取得源码并检查目录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将仓库完整放到本地目录，保持 pyproject.toml、src 下运行时与工作台代码、.env.example 等结构不变。关键文件如图2-1所示。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586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install-d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8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图2-1  仓库关键文件与启动入口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（2）创建虚拟环境并安装依赖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在仓库根目录执行：</w:t>
      </w:r>
    </w:p>
    <w:p>
      <w:pPr>
        <w:spacing w:after="160" w:line="324" w:lineRule="auto"/>
      </w:pPr>
      <w:r>
        <w:rPr>
          <w:rFonts w:ascii="Menlo" w:hAnsi="Menlo" w:eastAsia="Menlo"/>
          <w:b w:val="0"/>
          <w:sz w:val="24"/>
        </w:rPr>
        <w:t>python3 -m venv .venv</w:t>
      </w:r>
    </w:p>
    <w:p>
      <w:pPr>
        <w:spacing w:after="160" w:line="324" w:lineRule="auto"/>
      </w:pPr>
      <w:r>
        <w:rPr>
          <w:rFonts w:ascii="Menlo" w:hAnsi="Menlo" w:eastAsia="Menlo"/>
          <w:b w:val="0"/>
          <w:sz w:val="24"/>
        </w:rPr>
        <w:t>.venv/bin/python -m pip install --upgrade pip</w:t>
      </w:r>
    </w:p>
    <w:p>
      <w:pPr>
        <w:spacing w:after="160" w:line="324" w:lineRule="auto"/>
      </w:pPr>
      <w:r>
        <w:rPr>
          <w:rFonts w:ascii="Menlo" w:hAnsi="Menlo" w:eastAsia="Menlo"/>
          <w:b w:val="0"/>
          <w:sz w:val="24"/>
        </w:rPr>
        <w:t>.venv/bin/python -m pip install -e ".[dev,board,akshare]"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（3）配置环境变量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复制 .env.example 为 .env，填写 DEEPSEEK_API_KEY。已经在 shell 中 export 过的变量不会被覆盖。改完后必须重启 serve。示例文件如图2-2所示（图中密钥栏为空，请勿把真实密钥写入说明书或截图）。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89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e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89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图2-2  环境变量示例（.env.example）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（4）启动方式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在仓库根目录执行 .venv/bin/python -m insightboard serve（当前代码入口）。一条命令同时拉起接口、静态页面和研究后台。浏览器打开 http://127.0.0.1:8000 ，应看到封面，如图2-3所示。改完 Python 路由后需重启服务；仅改页面脚本刷新浏览器即可。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图2-3  启动成功后的项目封面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2.3  备注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（1）行情为延迟数据，页眉会提示最近成功采集时间；过期数据仍可用于复盘界面操作，但不代表盘中实时价格。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（2）未配置模型密钥时，仍可采集行情、浏览市场和模拟账户；开始分析、追踪或生成画像会提示无法调用模型。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（3）研究任务由后台串行执行。同一时刻若已有任务进行中，新请求会提示已有任务并继续轮询，而不是把错误显示成无意义对象。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（4）本地数据默认写在 data/ 下（行情库、研究日志库、方法论库等），分析日志不进入 git。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（5）本软件不提供实盘下单。虚拟盈亏不能当作投资建议或收益承诺。</w:t>
      </w:r>
    </w:p>
    <w:p>
      <w:pPr>
        <w:spacing w:before="280" w:after="160"/>
        <w:ind w:firstLine="0"/>
      </w:pPr>
      <w:r>
        <w:rPr>
          <w:rFonts w:ascii="黑体" w:hAnsi="黑体" w:eastAsia="黑体"/>
          <w:b/>
          <w:sz w:val="32"/>
        </w:rPr>
        <w:t>第三部分  使用手册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sz w:val="24"/>
        </w:rPr>
        <w:t>本部分按照“封面—市场行情—打开标的—首次分析—模拟投入—手动追踪—学习沉淀—K 线与公告—自选—模拟账户—用户画像—专家工作台”的顺序，完整展示一次以五粮液（000858）为例的研究任务。所有界面截图均来自本软件 V0.1.0 实际运行状态。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3.1  打开封面并进入工作台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浏览器访问 http://127.0.0.1:8000 后进入封面。确认标题为“私人投研模拟器”，并看到分析、投入、追踪、沉淀四步以及五位专家职责。点击“进入工作台”。页脚口径为“延迟行情 · 研究辅助 · 非投资建议”，如图3-1所示。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图3-1  项目封面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3.2  采集并浏览市场行情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进入工作台后默认停在“市场”。页眉显示数据状态；本说明书截取时提示“数据可能过期，最近成功：2026/9/4 14:47:31”。需要更新时点击“采集行情”，等待全市场延迟报价入库。表格给出代码、名称、市场、最新价、涨跌幅和成交额，如图3-2所示。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mar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图3-2  市场行情页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3.3  按代码查询标的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在搜索框输入股票代码或名称，点击“查询”。以 000858 为例，结果仅保留五粮液一行：深市、最新价 71.89、涨跌幅 1.71%、成交额 31.02 亿，如图3-3所示。点击该行进入详情。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market-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图3-3  查询 000858 五粮液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3.4  打开标的详情与决策流程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详情页上方显示当前研究标的名称、代码、延迟价和涨跌幅，并提供加入自选、用户画像、模拟账户入口。中部“从研究到持续决策”给出四步轨道：首次分析、投资决策、持续追踪、沉淀迭代。首次分析完成前，投入与追踪步骤保持锁定。顶部上下文如图3-4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tail-h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图3-4  标的详情与决策轨道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3.5  执行首次分析并阅读四维结论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在“给本轮分析补充口径”中可留空，也可写一句可执行规则（例如“记住：估值须核对经营现金流”）。点击“开始首次分析”，状态从排队/研究中变为研究完成。本例在 9/4 14:49 完成：综合决策为持有，信心 56%；基本面持有、技术面卖出、情绪持有、宏观暂不判断。各位专家卡片会标明是否沿用上次记忆。可在底部反馈框点“提交并按需重跑”，如图3-5所示。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8787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naly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78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图3-5  AI 首次分析（四维结论）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3.6  选择是否模拟投入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分析完成后，“选择是否投资”解锁。用户先阅读结论，再决定数量。本例五粮液已投入 1100 股，平均成本 71.46 元，市值约 7.91 万元。填写数量（默认 100 股）和买入理由后点“确认投入”；理由进入选股记忆。也可“减少持仓”或保持观察不买，如图3-6所示。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5537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inv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5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图3-6  模拟投资决策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3.7  手动触发追踪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有基线之后，在“本轮追踪重点”中可写关注点（可空），点击“开始本轮追踪”。本例 9/4 14:52 的追踪策略为“维持原判断”，摘要为无实质变化、维持持有，并列出相对基线的变化与继续盯紧项（经营现金流、关键价位、量能）。追踪后同样可以反馈并按需重跑，如图3-7所示。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50714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r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07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图3-7  手动追踪结果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3.8  查看本标的学习沉淀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“Agent 迭代与用户画像”汇总本标的记忆沉淀，并可跳转完整用户画像。分析、反馈和追踪过程中会积累专家私有记忆与用户偏好，不把用户原话当作研究证据，如图3-8所示。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0953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lear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095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图3-8  本标的学习沉淀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3.9  查看行情走势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详情下方“行情走势”提供收盘折线与日 K，并可“拉取日线”。走势仅作研究辅助，不构成买卖时点建议，如图3-9所示。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789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h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7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图3-9  行情走势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3.10  查看最新公告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“最新公告”列出已采集的信息披露标题与时间。拉取日线时会尝试一并采集。公告用于情绪维对照事实，不把标题当结论，如图3-10所示。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52725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noti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27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图3-10  最新公告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3.11  管理自选股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导航点击“自选”，或在详情中“加入自选”。自选页列出关注标的与最新延迟价格，点击代码可回到详情，如图3-11所示。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watch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图3-11  自选股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3.12  查看模拟账户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“模拟账户”显示总资产、现金、持仓市值与相对本金。本例总资产 994,295.00 元，相对本金 −0.57%。持仓表按延迟价重估浮动盈亏；下方为最近成交与选股记忆。页内声明虚拟资金模拟、非投资建议，如图3-12所示。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pap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图3-12  模拟账户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3.13  查看并生成用户画像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“用户画像”由模型基于选股策略与行为证据生成，不存原话。本例标题为“现金流校验的价值型投资者”，风险倾向显示为杠铃型，并列出偏好策略与决策方式。页面下部可查看、停用已记住的研究口径，并可“重新生成画像”，如图3-13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prof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图3-13  我的投资者画像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3.14  查看专家工作台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“专家工作台”按专家归类决策偏好，并展示跨任务经验总结。每位专家只继承自己的私有记忆；用户口径会约束下一次怎么看。数字“覆盖 N 只标的”是最新记忆覆盖的股票数，不是追踪把四专家全员重跑的次数。“分次分析记录”默认收起。追踪不能改写分析专家 State，如图3-14所示。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expe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ind w:firstLine="0"/>
        <w:jc w:val="center"/>
      </w:pPr>
      <w:r>
        <w:rPr>
          <w:rFonts w:ascii="宋体" w:hAnsi="宋体" w:eastAsia="宋体"/>
          <w:b w:val="0"/>
          <w:color w:val="444444"/>
          <w:sz w:val="21"/>
        </w:rPr>
        <w:t>图3-14  专家工作台</w:t>
      </w:r>
    </w:p>
    <w:p>
      <w:pPr>
        <w:spacing w:before="200" w:after="160"/>
        <w:ind w:firstLine="0"/>
      </w:pPr>
      <w:r>
        <w:rPr>
          <w:rFonts w:ascii="黑体" w:hAnsi="黑体" w:eastAsia="黑体"/>
          <w:b/>
          <w:sz w:val="28"/>
        </w:rPr>
        <w:t>3.15  常见问题及处理方法</w:t>
      </w:r>
    </w:p>
    <w:p>
      <w:pPr>
        <w:spacing w:after="160" w:line="324" w:lineRule="auto"/>
      </w:pPr>
      <w:r>
        <w:rPr>
          <w:rFonts w:ascii="黑体" w:hAnsi="黑体" w:eastAsia="黑体"/>
          <w:b/>
          <w:sz w:val="24"/>
        </w:rPr>
        <w:t>浏览器打不开页面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确认已在仓库根目录执行 python -m insightboard serve，并用 http://127.0.0.1:8000 访问；改端口时加上 --port。</w:t>
      </w:r>
    </w:p>
    <w:p>
      <w:pPr>
        <w:spacing w:after="160" w:line="324" w:lineRule="auto"/>
      </w:pPr>
      <w:r>
        <w:rPr>
          <w:rFonts w:ascii="黑体" w:hAnsi="黑体" w:eastAsia="黑体"/>
          <w:b/>
          <w:sz w:val="24"/>
        </w:rPr>
        <w:t>提示未配置模型密钥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检查 .env 中的 DEEPSEEK_API_KEY，保存后重启 serve。仅采集行情不需要密钥。</w:t>
      </w:r>
    </w:p>
    <w:p>
      <w:pPr>
        <w:spacing w:after="160" w:line="324" w:lineRule="auto"/>
      </w:pPr>
      <w:r>
        <w:rPr>
          <w:rFonts w:ascii="黑体" w:hAnsi="黑体" w:eastAsia="黑体"/>
          <w:b/>
          <w:sz w:val="24"/>
        </w:rPr>
        <w:t>采集行情失败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系统会保留上一批成功数据。可稍后重试，或运行 python -m insightboard status 查看最近采集。</w:t>
      </w:r>
    </w:p>
    <w:p>
      <w:pPr>
        <w:spacing w:after="160" w:line="324" w:lineRule="auto"/>
      </w:pPr>
      <w:r>
        <w:rPr>
          <w:rFonts w:ascii="黑体" w:hAnsi="黑体" w:eastAsia="黑体"/>
          <w:b/>
          <w:sz w:val="24"/>
        </w:rPr>
        <w:t>开始分析提示已有任务进行中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研究队列串行执行。页面会继续轮询已有任务；不要同时对多只股票连点分析。长时间无结果可重启 serve，后台会回收超时任务。</w:t>
      </w:r>
    </w:p>
    <w:p>
      <w:pPr>
        <w:spacing w:after="160" w:line="324" w:lineRule="auto"/>
      </w:pPr>
      <w:r>
        <w:rPr>
          <w:rFonts w:ascii="黑体" w:hAnsi="黑体" w:eastAsia="黑体"/>
          <w:b/>
          <w:sz w:val="24"/>
        </w:rPr>
        <w:t>追踪按钮不可用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须先有成功的首次分析基线。分析失败或仍在进行中时，追踪保持锁定。</w:t>
      </w:r>
    </w:p>
    <w:p>
      <w:pPr>
        <w:spacing w:after="160" w:line="324" w:lineRule="auto"/>
      </w:pPr>
      <w:r>
        <w:rPr>
          <w:rFonts w:ascii="黑体" w:hAnsi="黑体" w:eastAsia="黑体"/>
          <w:b/>
          <w:sz w:val="24"/>
        </w:rPr>
        <w:t>记住口径没有留下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记住须是可执行的短规则（例如带“对照”“核对”），不能是情绪发泄或事后涨跌总结。原话不会存盘。</w:t>
      </w:r>
    </w:p>
    <w:p>
      <w:pPr>
        <w:spacing w:after="160" w:line="324" w:lineRule="auto"/>
      </w:pPr>
      <w:r>
        <w:rPr>
          <w:rFonts w:ascii="黑体" w:hAnsi="黑体" w:eastAsia="黑体"/>
          <w:b/>
          <w:sz w:val="24"/>
        </w:rPr>
        <w:t>把结论当成买卖指令</w:t>
      </w:r>
    </w:p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sz w:val="24"/>
        </w:rPr>
        <w:t>四维结论与模拟盈亏都是研究辅助。延迟行情、虚拟资金，不构成投资建议，也不等于实盘可成交价格。</w:t>
      </w:r>
    </w:p>
    <w:p>
      <w:pPr>
        <w:spacing w:after="240" w:line="324" w:lineRule="auto"/>
        <w:ind w:firstLine="420"/>
      </w:pPr>
      <w:r>
        <w:rPr>
          <w:rFonts w:ascii="宋体" w:hAnsi="宋体" w:eastAsia="宋体"/>
          <w:b w:val="0"/>
          <w:sz w:val="24"/>
        </w:rPr>
        <w:t>软件流程小结：启动服务并打开封面，采集延迟行情后选股；完成首次分析并阅读四维结论，再决定是否模拟投入；需要时手动追踪；在画像与专家工作台管理口径与记忆。全程保持“研究辅助、非投资建议”。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