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3CED76">
      <w:pPr>
        <w:keepNext w:val="0"/>
        <w:keepLines w:val="0"/>
        <w:widowControl/>
        <w:suppressLineNumbers w:val="0"/>
      </w:pPr>
      <w:r>
        <w:rPr>
          <w:rFonts w:hint="eastAsia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AC68FF">
      <w:pPr>
        <w:pStyle w:val="3"/>
        <w:keepNext w:val="0"/>
        <w:keepLines w:val="0"/>
        <w:widowControl/>
        <w:suppressLineNumbers w:val="0"/>
      </w:pPr>
      <w:r>
        <w:t>2005年地方高校招生与毕业情况深度分析</w:t>
      </w:r>
    </w:p>
    <w:p w14:paraId="6B5D8932">
      <w:pPr>
        <w:pStyle w:val="15"/>
        <w:keepNext w:val="0"/>
        <w:keepLines w:val="0"/>
        <w:widowControl/>
        <w:suppressLineNumbers w:val="0"/>
        <w:ind w:firstLine="480" w:firstLineChars="200"/>
      </w:pPr>
      <w:bookmarkStart w:id="0" w:name="_GoBack"/>
      <w:bookmarkEnd w:id="0"/>
      <w:r>
        <w:t>2005年，中国高等教育正经历着快速发展与变革。为深入剖析地方高校在该年度的招生与毕业动态，我们对五所具有代表性的地方院校——Cedar大学、Elm学院、Maple高等专科院校、Pine学院和Oak研究所——的本科生与研究生招生及毕业数据进行了细致梳理与对比分析。此次研究不仅旨在呈现各院校的具体数据，更重要的是通过数据解读其背后反映出的办学策略、发展趋势以及可能面临的挑战。总体数据显示，这五所院校在2005年度共计招收新生998人，同期毕业生为908人，净增人数达到90人。这一显著的净增长趋势清晰地表明，地方高等教育规模正处于稳步扩张之中，这与国家对高等教育普及化和人才培养需求的日益增长紧密相关。扩招不仅是量的增加，更是高等教育资源向地方延伸，以满足区域经济社会发展对高素质人才的迫切需求。这种扩张趋势也预示着地方高校在优化专业设置、提升教学质量、加强师资队伍建设等方面将面临新的机遇与挑战。同时，不同院校之间在招生与毕业数据上的差异，也为我们提供了深入探究其各自办学特色的窗口。</w:t>
      </w:r>
    </w:p>
    <w:p w14:paraId="5F088BB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86232A">
      <w:pPr>
        <w:pStyle w:val="3"/>
        <w:keepNext w:val="0"/>
        <w:keepLines w:val="0"/>
        <w:widowControl/>
        <w:suppressLineNumbers w:val="0"/>
      </w:pPr>
      <w:r>
        <w:t>本科生情况概述：多元发展格局</w:t>
      </w:r>
    </w:p>
    <w:p w14:paraId="18AE7AA3">
      <w:pPr>
        <w:pStyle w:val="15"/>
        <w:keepNext w:val="0"/>
        <w:keepLines w:val="0"/>
        <w:widowControl/>
        <w:suppressLineNumbers w:val="0"/>
        <w:ind w:firstLine="480" w:firstLineChars="200"/>
      </w:pPr>
      <w:r>
        <w:t>在本科生层面，各院校呈现出多元化的发展态势，这反映了不同高校在办学定位、学科特色以及区域生源市场竞争中的不同策略。</w:t>
      </w:r>
    </w:p>
    <w:p w14:paraId="21EB732B">
      <w:pPr>
        <w:pStyle w:val="15"/>
        <w:keepNext w:val="0"/>
        <w:keepLines w:val="0"/>
        <w:widowControl/>
        <w:suppressLineNumbers w:val="0"/>
        <w:ind w:firstLine="480" w:firstLineChars="200"/>
      </w:pPr>
      <w:r>
        <w:rPr>
          <w:b/>
          <w:bCs/>
        </w:rPr>
        <w:t>Cedar大学</w:t>
      </w:r>
      <w:r>
        <w:t>在2005年表现出稳定的发展态势。该校本科招生人数为110人，毕业生人数为103人，实现了7人的净增长。这一数据表明，Cedar大学在生源吸引力和人才培养能力方面均保持了良好的平衡。稳定的招生规模不仅有助于学校维持正常的教学科研秩序，也为毕业生提供了相对稳定的就业前景。其小幅度的净增长，可能意味着学校在保持现有办学规模的同时，正有计划地进行微调，以适应外部环境的变化或内部发展的需要。这种“稳中求进”的策略，对于一所地方性大学而言，通常能有效规避盲目扩张带来的风险，专注于提升内涵建设，从而在激烈的教育竞争中保持自身特色和优势。</w:t>
      </w:r>
    </w:p>
    <w:p w14:paraId="72DC7F96">
      <w:pPr>
        <w:pStyle w:val="15"/>
        <w:keepNext w:val="0"/>
        <w:keepLines w:val="0"/>
        <w:widowControl/>
        <w:suppressLineNumbers w:val="0"/>
        <w:ind w:firstLine="480" w:firstLineChars="200"/>
      </w:pPr>
      <w:r>
        <w:rPr>
          <w:b/>
          <w:bCs/>
        </w:rPr>
        <w:t>Elm学院</w:t>
      </w:r>
      <w:r>
        <w:t>在本年度的本科招生中脱颖而出，以223人的招生规模位居所有本科院校之首，同期毕业生为214人，净增9人。Elm学院的这一表现，不仅彰显了其强大的生源吸引力，也反映出其在办学规模上具有显著的优势。作为一所地方院校，如此庞大的招生体量可能得益于其独特的地理位置、优势学科的吸引力，或是在区域内享有较高的声誉。较大的招生规模通常意味着更多的教育资源投入，例如师资力量、教学设施以及实践基地等。这也提示我们，Elm学院可能在积极响应地方经济发展需求，培养更多适应区域产业结构的人才。其稳定的净增长，进一步印证了学校在扩大的办学规模的同时，依然能够保持毕业生数量的同步增长，确保了人才培养的连续性与有效性。</w:t>
      </w:r>
    </w:p>
    <w:p w14:paraId="2C95627B">
      <w:pPr>
        <w:pStyle w:val="15"/>
        <w:keepNext w:val="0"/>
        <w:keepLines w:val="0"/>
        <w:widowControl/>
        <w:suppressLineNumbers w:val="0"/>
        <w:ind w:firstLine="480" w:firstLineChars="200"/>
      </w:pPr>
      <w:r>
        <w:rPr>
          <w:b/>
          <w:bCs/>
        </w:rPr>
        <w:t>Maple高等专科院校</w:t>
      </w:r>
      <w:r>
        <w:t>的变化最为引人注目，其净增长数据呈现出爆发式增长。尽管毕业生人数为120人，但新生招生人数却高达197人，实现了惊人的77人净增长。这一显著的增长趋势，强烈暗示Maple高等专科院校正处于一个重要的转型或扩张阶段。这种大规模的净增长，可能是由于该校在2005年新增了多个热门专业，以适应市场对特定技能型人才的需求，或是通过优化招生策略，大幅提升了招生计划。对于一所高等专科院校而言，如此剧烈的变化往往与国家职业教育政策的调整、地方产业升级对技术人才需求的剧增，以及学校自身对办学定位的重新审视等因素紧密相关。它预示着Maple高等专科院校正积极调整其办学方向，从传统的专科教育向更具市场竞争力的领域拓展，以期在高等教育体系中占据更有利的位置。这种扩张也对其教学资源、师资力量和管理体系带来了新的挑战，如何确保在快速发展的同时保持教育质量，是其未来需要重点关注的问题。</w:t>
      </w:r>
    </w:p>
    <w:p w14:paraId="70384A99">
      <w:pPr>
        <w:pStyle w:val="15"/>
        <w:keepNext w:val="0"/>
        <w:keepLines w:val="0"/>
        <w:widowControl/>
        <w:suppressLineNumbers w:val="0"/>
        <w:ind w:firstLine="480" w:firstLineChars="200"/>
      </w:pPr>
      <w:r>
        <w:rPr>
          <w:b/>
          <w:bCs/>
        </w:rPr>
        <w:t>Pine学院</w:t>
      </w:r>
      <w:r>
        <w:t>在2005年的表现则呈现出稳健的增长态势。该校本科招生人数为134人，毕业生为121人，净增13人。与Cedar大学类似，Pine学院的增长幅度较为适中，表明其在保持现有办学水平的基础上，正有序地进行小规模的扩张。这种稳步增长的模式，通常有助于学校更好地消化新增生源，保证教学质量，并逐步完善各项基础设施建设。Pine学院的稳定增长，可能得益于其在某一特定领域的专业优势，或是其在地方教育市场中建立的良好口碑。</w:t>
      </w:r>
    </w:p>
    <w:p w14:paraId="183D326A">
      <w:pPr>
        <w:pStyle w:val="15"/>
        <w:keepNext w:val="0"/>
        <w:keepLines w:val="0"/>
        <w:widowControl/>
        <w:suppressLineNumbers w:val="0"/>
        <w:ind w:firstLine="480" w:firstLineChars="200"/>
      </w:pPr>
      <w:r>
        <w:t>与前述院校形成对比的是，</w:t>
      </w:r>
      <w:r>
        <w:rPr>
          <w:b/>
          <w:bCs/>
        </w:rPr>
        <w:t>Oak研究所</w:t>
      </w:r>
      <w:r>
        <w:t>在本科生层面出现了净减少的情况。该校本科毕业生数量为210人，略高于其新生人数202人，导致净减少8人。虽然减少幅度不大，但这一趋势值得关注。Oak研究所出现招生人数少于毕业人数的情况，可能与该校的办学层次调整、招生计划的战略性收缩有关。作为一所“研究所”，其核心职能可能更侧重于研究生培养和科研工作，本科教育可能并非其发展的重心。因此，学校可能会选择逐步缩减本科招生规模，将更多资源集中于优势学科和研究生培养，以提升其在特定研究领域的竞争力。此外，也可能受到生源市场竞争加剧、专业吸引力下降等外部因素的影响。这一数据提示我们，即使在整体扩招的大背景下，部分高校也可能基于自身发展战略或外部环境变化，选择调整甚至缩减某些办学层面的规模。</w:t>
      </w:r>
    </w:p>
    <w:p w14:paraId="45E15633">
      <w:pPr>
        <w:pStyle w:val="15"/>
        <w:keepNext w:val="0"/>
        <w:keepLines w:val="0"/>
        <w:widowControl/>
        <w:suppressLineNumbers w:val="0"/>
        <w:ind w:firstLine="480" w:firstLineChars="200"/>
      </w:pPr>
      <w:r>
        <w:rPr>
          <w:rFonts w:ascii="宋体" w:hAnsi="宋体" w:eastAsia="宋体" w:cs="宋体"/>
          <w:sz w:val="24"/>
          <w:szCs w:val="24"/>
        </w:rPr>
        <w:t>2005年，中国高等教育正经历着一场前所未有的快速发展与深刻变革，其影响深远，波及全国各地。在这一宏大背景下，地方高校的招生与毕业动态，无疑成为洞察中国教育改革脉络、评估区域人才培养能力的关键视角。为了更深入地剖析这一年度地方高校的实际运行状况，我们对五所具有鲜明代表性的地方院校——</w:t>
      </w:r>
      <w:r>
        <w:rPr>
          <w:rFonts w:ascii="宋体" w:hAnsi="宋体" w:eastAsia="宋体" w:cs="宋体"/>
          <w:b/>
          <w:bCs/>
          <w:sz w:val="24"/>
          <w:szCs w:val="24"/>
        </w:rPr>
        <w:t>Cedar大学、Elm学院、Maple高等专科院校、Pine学院和Oak研究所</w:t>
      </w:r>
      <w:r>
        <w:rPr>
          <w:rFonts w:ascii="宋体" w:hAnsi="宋体" w:eastAsia="宋体" w:cs="宋体"/>
          <w:sz w:val="24"/>
          <w:szCs w:val="24"/>
        </w:rPr>
        <w:t>——的本科生与研究生招生及毕业数据进行了细致入微的梳理、比对与深入分析。这项研究的价值绝不仅仅在于罗列那些冰冷的数字，更重要的是，我们旨在通过这些数据，解读其背后所蕴含的各院校独特的</w:t>
      </w:r>
      <w:r>
        <w:rPr>
          <w:rFonts w:ascii="宋体" w:hAnsi="宋体" w:eastAsia="宋体" w:cs="宋体"/>
          <w:b/>
          <w:bCs/>
          <w:sz w:val="24"/>
          <w:szCs w:val="24"/>
        </w:rPr>
        <w:t>办学策略、发展趋势以及可能面临的挑战</w:t>
      </w:r>
      <w:r>
        <w:rPr>
          <w:rFonts w:ascii="宋体" w:hAnsi="宋体" w:eastAsia="宋体" w:cs="宋体"/>
          <w:sz w:val="24"/>
          <w:szCs w:val="24"/>
        </w:rPr>
        <w:t>。这些挑战可能涉及资金投入、师资短缺、教学模式创新等多个方面，而机遇则可能体现在区域经济发展带来的专业需求、国家政策支持以及与产业深度融合的可能性。从总体数据来看，这五所院校在2005年度的总和数据描绘出了一幅清晰而有力的扩张图景：它们共计招收新生</w:t>
      </w:r>
      <w:r>
        <w:rPr>
          <w:rFonts w:ascii="宋体" w:hAnsi="宋体" w:eastAsia="宋体" w:cs="宋体"/>
          <w:b/>
          <w:bCs/>
          <w:sz w:val="24"/>
          <w:szCs w:val="24"/>
        </w:rPr>
        <w:t>998人</w:t>
      </w:r>
      <w:r>
        <w:rPr>
          <w:rFonts w:ascii="宋体" w:hAnsi="宋体" w:eastAsia="宋体" w:cs="宋体"/>
          <w:sz w:val="24"/>
          <w:szCs w:val="24"/>
        </w:rPr>
        <w:t>，而同期毕业生为</w:t>
      </w:r>
      <w:r>
        <w:rPr>
          <w:rFonts w:ascii="宋体" w:hAnsi="宋体" w:eastAsia="宋体" w:cs="宋体"/>
          <w:b/>
          <w:bCs/>
          <w:sz w:val="24"/>
          <w:szCs w:val="24"/>
        </w:rPr>
        <w:t>908人</w:t>
      </w:r>
      <w:r>
        <w:rPr>
          <w:rFonts w:ascii="宋体" w:hAnsi="宋体" w:eastAsia="宋体" w:cs="宋体"/>
          <w:sz w:val="24"/>
          <w:szCs w:val="24"/>
        </w:rPr>
        <w:t>，实现了</w:t>
      </w:r>
      <w:r>
        <w:rPr>
          <w:rFonts w:ascii="宋体" w:hAnsi="宋体" w:eastAsia="宋体" w:cs="宋体"/>
          <w:b/>
          <w:bCs/>
          <w:sz w:val="24"/>
          <w:szCs w:val="24"/>
        </w:rPr>
        <w:t>90人</w:t>
      </w:r>
      <w:r>
        <w:rPr>
          <w:rFonts w:ascii="宋体" w:hAnsi="宋体" w:eastAsia="宋体" w:cs="宋体"/>
          <w:sz w:val="24"/>
          <w:szCs w:val="24"/>
        </w:rPr>
        <w:t>的净增长。这一显著的净增长趋势，无疑是地方高等教育规模正处于稳步扩张之中的最有力证明。这种扩张并非偶然现象，它与国家层面推动高等教育普及化、满足日益增长的人才培养需求的战略目标紧密相连。在这一时期，中国经济的腾飞对高素质、应用型人才提出了前所未有的迫切需求，高等教育的扩容正是为了更好地承接和满足这一国家战略需求，确保社会经济发展拥有持续的人力资源供给。更进一步来看，扩招的意义也绝不仅仅停留在数量的简单增加上。它更深层次地意味着高等教育资源的</w:t>
      </w:r>
      <w:r>
        <w:rPr>
          <w:rFonts w:ascii="宋体" w:hAnsi="宋体" w:eastAsia="宋体" w:cs="宋体"/>
          <w:b/>
          <w:bCs/>
          <w:sz w:val="24"/>
          <w:szCs w:val="24"/>
        </w:rPr>
        <w:t>战略性向地方延伸</w:t>
      </w:r>
      <w:r>
        <w:rPr>
          <w:rFonts w:ascii="宋体" w:hAnsi="宋体" w:eastAsia="宋体" w:cs="宋体"/>
          <w:sz w:val="24"/>
          <w:szCs w:val="24"/>
        </w:rPr>
        <w:t>。长期以来，优质高等教育资源相对集中于少数大城市和重点高校，导致区域发展不平衡。而地方高校的扩招，则标志着这些教育资源开始向更广阔的区域辐射，以期更直接、更精准地满足地方经济社会发展对各类高素质人才的迫切需求。这种“本土化”的人才培养模式，有助于形成与地方产业结构更紧密结合的教育生态，从而为地方经济的可持续发展提供坚实的人力资本支撑，促进区域协调发展。例如，某些地方院校可能根据当地支柱产业的需求，增设相关专业，如生物科技、新能源或现代农业等，从而培养出能直接服务于当地经济建设的专业人才。</w:t>
      </w:r>
    </w:p>
    <w:p w14:paraId="38BB80D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19"/>
        <w:tblW w:w="5000" w:type="pct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2076"/>
        <w:gridCol w:w="2076"/>
        <w:gridCol w:w="2077"/>
      </w:tblGrid>
      <w:tr w14:paraId="4100F3F2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pct"/>
            <w:tcBorders>
              <w:top w:val="single" w:color="auto" w:sz="18" w:space="0"/>
              <w:left w:val="nil"/>
              <w:bottom w:val="single" w:color="auto" w:sz="18" w:space="0"/>
              <w:right w:val="nil"/>
              <w:insideH w:val="single" w:sz="18" w:space="0"/>
              <w:insideV w:val="nil"/>
            </w:tcBorders>
            <w:shd w:val="clear" w:color="auto" w:fill="5B9BD5" w:themeFill="accent5"/>
            <w:noWrap/>
          </w:tcPr>
          <w:p w14:paraId="3447F625">
            <w:pPr>
              <w:spacing w:before="0" w:after="0" w:line="240" w:lineRule="auto"/>
              <w:rPr>
                <w:rFonts w:hint="eastAsia"/>
                <w:b/>
                <w:bCs/>
                <w:color w:val="FFFFFF" w:themeColor="background1"/>
                <w:kern w:val="0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sz w:val="22"/>
                <w:lang w:val="zh-CN"/>
                <w14:textFill>
                  <w14:solidFill>
                    <w14:schemeClr w14:val="bg1"/>
                  </w14:solidFill>
                </w14:textFill>
              </w:rPr>
              <w:t>学院</w:t>
            </w:r>
          </w:p>
        </w:tc>
        <w:tc>
          <w:tcPr>
            <w:tcW w:w="1218" w:type="pct"/>
            <w:tcBorders>
              <w:top w:val="single" w:color="auto" w:sz="18" w:space="0"/>
              <w:bottom w:val="single" w:color="auto" w:sz="18" w:space="0"/>
              <w:right w:val="nil"/>
              <w:insideH w:val="single" w:sz="18" w:space="0"/>
              <w:insideV w:val="nil"/>
            </w:tcBorders>
            <w:shd w:val="clear" w:color="auto" w:fill="5B9BD5" w:themeFill="accent5"/>
          </w:tcPr>
          <w:p w14:paraId="144E97E1">
            <w:pPr>
              <w:spacing w:before="0" w:after="0" w:line="240" w:lineRule="auto"/>
              <w:rPr>
                <w:rFonts w:hint="eastAsia"/>
                <w:b/>
                <w:bCs/>
                <w:color w:val="FFFFFF" w:themeColor="background1"/>
                <w:kern w:val="0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sz w:val="22"/>
                <w:lang w:val="zh-CN"/>
                <w14:textFill>
                  <w14:solidFill>
                    <w14:schemeClr w14:val="bg1"/>
                  </w14:solidFill>
                </w14:textFill>
              </w:rPr>
              <w:t>新生</w:t>
            </w:r>
          </w:p>
        </w:tc>
        <w:tc>
          <w:tcPr>
            <w:tcW w:w="1218" w:type="pct"/>
            <w:tcBorders>
              <w:top w:val="single" w:color="auto" w:sz="18" w:space="0"/>
              <w:bottom w:val="single" w:color="auto" w:sz="18" w:space="0"/>
              <w:right w:val="nil"/>
              <w:insideH w:val="single" w:sz="18" w:space="0"/>
              <w:insideV w:val="nil"/>
            </w:tcBorders>
            <w:shd w:val="clear" w:color="auto" w:fill="5B9BD5" w:themeFill="accent5"/>
          </w:tcPr>
          <w:p w14:paraId="52176DA2">
            <w:pPr>
              <w:spacing w:before="0" w:after="0" w:line="240" w:lineRule="auto"/>
              <w:rPr>
                <w:rFonts w:hint="eastAsia"/>
                <w:b/>
                <w:bCs/>
                <w:color w:val="FFFFFF" w:themeColor="background1"/>
                <w:kern w:val="0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sz w:val="22"/>
                <w:lang w:val="zh-CN"/>
                <w14:textFill>
                  <w14:solidFill>
                    <w14:schemeClr w14:val="bg1"/>
                  </w14:solidFill>
                </w14:textFill>
              </w:rPr>
              <w:t>毕业生</w:t>
            </w:r>
          </w:p>
        </w:tc>
        <w:tc>
          <w:tcPr>
            <w:tcW w:w="1218" w:type="pct"/>
            <w:tcBorders>
              <w:top w:val="single" w:color="auto" w:sz="18" w:space="0"/>
              <w:bottom w:val="single" w:color="auto" w:sz="18" w:space="0"/>
              <w:right w:val="nil"/>
              <w:insideH w:val="single" w:sz="18" w:space="0"/>
              <w:insideV w:val="nil"/>
            </w:tcBorders>
            <w:shd w:val="clear" w:color="auto" w:fill="5B9BD5" w:themeFill="accent5"/>
          </w:tcPr>
          <w:p w14:paraId="73B029F5">
            <w:pPr>
              <w:spacing w:before="0" w:after="0" w:line="240" w:lineRule="auto"/>
              <w:rPr>
                <w:rFonts w:hint="eastAsia"/>
                <w:b/>
                <w:bCs/>
                <w:color w:val="FFFFFF" w:themeColor="background1"/>
                <w:kern w:val="0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sz w:val="22"/>
                <w:lang w:val="zh-CN"/>
                <w14:textFill>
                  <w14:solidFill>
                    <w14:schemeClr w14:val="bg1"/>
                  </w14:solidFill>
                </w14:textFill>
              </w:rPr>
              <w:t>更改</w:t>
            </w:r>
          </w:p>
        </w:tc>
      </w:tr>
      <w:tr w14:paraId="1B5193B5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pct"/>
            <w:noWrap/>
          </w:tcPr>
          <w:p w14:paraId="735989DE">
            <w:pPr>
              <w:rPr>
                <w:rFonts w:hint="eastAsia"/>
                <w:kern w:val="0"/>
                <w:sz w:val="22"/>
              </w:rPr>
            </w:pPr>
          </w:p>
        </w:tc>
        <w:tc>
          <w:tcPr>
            <w:tcW w:w="1218" w:type="pct"/>
          </w:tcPr>
          <w:p w14:paraId="1C7DCA5A">
            <w:pPr>
              <w:rPr>
                <w:rStyle w:val="42"/>
                <w:rFonts w:hint="eastAsia"/>
                <w:kern w:val="0"/>
                <w:sz w:val="22"/>
              </w:rPr>
            </w:pPr>
            <w:r>
              <w:rPr>
                <w:rStyle w:val="42"/>
                <w:kern w:val="0"/>
                <w:sz w:val="22"/>
                <w:lang w:val="zh-CN"/>
              </w:rPr>
              <w:t>本科生</w:t>
            </w:r>
          </w:p>
        </w:tc>
        <w:tc>
          <w:tcPr>
            <w:tcW w:w="1218" w:type="pct"/>
          </w:tcPr>
          <w:p w14:paraId="76D651E0">
            <w:pPr>
              <w:rPr>
                <w:rFonts w:hint="eastAsia"/>
                <w:kern w:val="0"/>
                <w:sz w:val="22"/>
              </w:rPr>
            </w:pPr>
          </w:p>
        </w:tc>
        <w:tc>
          <w:tcPr>
            <w:tcW w:w="1218" w:type="pct"/>
          </w:tcPr>
          <w:p w14:paraId="7405E500">
            <w:pPr>
              <w:rPr>
                <w:rFonts w:hint="eastAsia"/>
                <w:kern w:val="0"/>
                <w:sz w:val="22"/>
              </w:rPr>
            </w:pPr>
          </w:p>
        </w:tc>
      </w:tr>
      <w:tr w14:paraId="7F2FA39C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345" w:type="pct"/>
            <w:noWrap/>
          </w:tcPr>
          <w:p w14:paraId="6EBA09DB">
            <w:pPr>
              <w:rPr>
                <w:rFonts w:hint="eastAsia"/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Cedar 大学</w:t>
            </w:r>
          </w:p>
        </w:tc>
        <w:tc>
          <w:tcPr>
            <w:tcW w:w="1218" w:type="pct"/>
          </w:tcPr>
          <w:p w14:paraId="58FE97F8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110</w:t>
            </w:r>
          </w:p>
        </w:tc>
        <w:tc>
          <w:tcPr>
            <w:tcW w:w="1218" w:type="pct"/>
          </w:tcPr>
          <w:p w14:paraId="138DD559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103</w:t>
            </w:r>
          </w:p>
        </w:tc>
        <w:tc>
          <w:tcPr>
            <w:tcW w:w="1218" w:type="pct"/>
          </w:tcPr>
          <w:p w14:paraId="06E3F90B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+7</w:t>
            </w:r>
          </w:p>
        </w:tc>
      </w:tr>
      <w:tr w14:paraId="37BB994C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pct"/>
            <w:noWrap/>
          </w:tcPr>
          <w:p w14:paraId="6E0D7332">
            <w:pPr>
              <w:rPr>
                <w:rFonts w:hint="eastAsia"/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Elm 学院</w:t>
            </w:r>
          </w:p>
        </w:tc>
        <w:tc>
          <w:tcPr>
            <w:tcW w:w="1218" w:type="pct"/>
          </w:tcPr>
          <w:p w14:paraId="208F8C65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223</w:t>
            </w:r>
          </w:p>
        </w:tc>
        <w:tc>
          <w:tcPr>
            <w:tcW w:w="1218" w:type="pct"/>
          </w:tcPr>
          <w:p w14:paraId="7F850D9E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214</w:t>
            </w:r>
          </w:p>
        </w:tc>
        <w:tc>
          <w:tcPr>
            <w:tcW w:w="1218" w:type="pct"/>
          </w:tcPr>
          <w:p w14:paraId="615388CE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+9</w:t>
            </w:r>
          </w:p>
        </w:tc>
      </w:tr>
      <w:tr w14:paraId="711F40CF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pct"/>
            <w:noWrap/>
          </w:tcPr>
          <w:p w14:paraId="3AEEE722">
            <w:pPr>
              <w:rPr>
                <w:rFonts w:hint="eastAsia"/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 xml:space="preserve">Maple 高等专科院校 </w:t>
            </w:r>
          </w:p>
        </w:tc>
        <w:tc>
          <w:tcPr>
            <w:tcW w:w="1218" w:type="pct"/>
          </w:tcPr>
          <w:p w14:paraId="3B45FB25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197</w:t>
            </w:r>
          </w:p>
        </w:tc>
        <w:tc>
          <w:tcPr>
            <w:tcW w:w="1218" w:type="pct"/>
          </w:tcPr>
          <w:p w14:paraId="1ED441B7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120</w:t>
            </w:r>
          </w:p>
        </w:tc>
        <w:tc>
          <w:tcPr>
            <w:tcW w:w="1218" w:type="pct"/>
          </w:tcPr>
          <w:p w14:paraId="0BE24675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+77</w:t>
            </w:r>
          </w:p>
        </w:tc>
      </w:tr>
      <w:tr w14:paraId="5006F5EB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pct"/>
            <w:noWrap/>
          </w:tcPr>
          <w:p w14:paraId="27A1B82A">
            <w:pPr>
              <w:rPr>
                <w:rFonts w:hint="eastAsia"/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Pine 学院</w:t>
            </w:r>
          </w:p>
        </w:tc>
        <w:tc>
          <w:tcPr>
            <w:tcW w:w="1218" w:type="pct"/>
          </w:tcPr>
          <w:p w14:paraId="6BA3A6FE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134</w:t>
            </w:r>
          </w:p>
        </w:tc>
        <w:tc>
          <w:tcPr>
            <w:tcW w:w="1218" w:type="pct"/>
          </w:tcPr>
          <w:p w14:paraId="3967AD73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121</w:t>
            </w:r>
          </w:p>
        </w:tc>
        <w:tc>
          <w:tcPr>
            <w:tcW w:w="1218" w:type="pct"/>
          </w:tcPr>
          <w:p w14:paraId="1796A03F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+13</w:t>
            </w:r>
          </w:p>
        </w:tc>
      </w:tr>
      <w:tr w14:paraId="5EEA83F6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pct"/>
            <w:noWrap/>
          </w:tcPr>
          <w:p w14:paraId="281C12D0">
            <w:pPr>
              <w:rPr>
                <w:rFonts w:hint="eastAsia"/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Oak 研究所</w:t>
            </w:r>
          </w:p>
        </w:tc>
        <w:tc>
          <w:tcPr>
            <w:tcW w:w="1218" w:type="pct"/>
          </w:tcPr>
          <w:p w14:paraId="156C20DF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202</w:t>
            </w:r>
          </w:p>
        </w:tc>
        <w:tc>
          <w:tcPr>
            <w:tcW w:w="1218" w:type="pct"/>
          </w:tcPr>
          <w:p w14:paraId="4CF69E1B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210</w:t>
            </w:r>
          </w:p>
        </w:tc>
        <w:tc>
          <w:tcPr>
            <w:tcW w:w="1218" w:type="pct"/>
          </w:tcPr>
          <w:p w14:paraId="56DC7AB1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-8</w:t>
            </w:r>
          </w:p>
        </w:tc>
      </w:tr>
      <w:tr w14:paraId="79682AD0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pct"/>
            <w:noWrap/>
          </w:tcPr>
          <w:p w14:paraId="2BE9C2CD">
            <w:pPr>
              <w:rPr>
                <w:rFonts w:hint="eastAsia"/>
                <w:kern w:val="0"/>
                <w:sz w:val="22"/>
              </w:rPr>
            </w:pPr>
          </w:p>
        </w:tc>
        <w:tc>
          <w:tcPr>
            <w:tcW w:w="1218" w:type="pct"/>
          </w:tcPr>
          <w:p w14:paraId="6D9416BB">
            <w:pPr>
              <w:rPr>
                <w:rStyle w:val="42"/>
                <w:rFonts w:hint="eastAsia"/>
                <w:kern w:val="0"/>
                <w:sz w:val="22"/>
              </w:rPr>
            </w:pPr>
            <w:r>
              <w:rPr>
                <w:rStyle w:val="42"/>
                <w:kern w:val="0"/>
                <w:sz w:val="22"/>
                <w:lang w:val="zh-CN"/>
              </w:rPr>
              <w:t>研究生</w:t>
            </w:r>
          </w:p>
        </w:tc>
        <w:tc>
          <w:tcPr>
            <w:tcW w:w="1218" w:type="pct"/>
          </w:tcPr>
          <w:p w14:paraId="7EE467BF">
            <w:pPr>
              <w:rPr>
                <w:rFonts w:hint="eastAsia"/>
                <w:kern w:val="0"/>
                <w:sz w:val="22"/>
              </w:rPr>
            </w:pPr>
          </w:p>
        </w:tc>
        <w:tc>
          <w:tcPr>
            <w:tcW w:w="1218" w:type="pct"/>
          </w:tcPr>
          <w:p w14:paraId="14826E39">
            <w:pPr>
              <w:rPr>
                <w:rFonts w:hint="eastAsia"/>
                <w:kern w:val="0"/>
                <w:sz w:val="22"/>
              </w:rPr>
            </w:pPr>
          </w:p>
        </w:tc>
      </w:tr>
      <w:tr w14:paraId="17B6DC65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pct"/>
            <w:noWrap/>
          </w:tcPr>
          <w:p w14:paraId="620314F6">
            <w:pPr>
              <w:rPr>
                <w:rFonts w:hint="eastAsia"/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Cedar 大学</w:t>
            </w:r>
          </w:p>
        </w:tc>
        <w:tc>
          <w:tcPr>
            <w:tcW w:w="1218" w:type="pct"/>
          </w:tcPr>
          <w:p w14:paraId="625509A4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24</w:t>
            </w:r>
          </w:p>
        </w:tc>
        <w:tc>
          <w:tcPr>
            <w:tcW w:w="1218" w:type="pct"/>
          </w:tcPr>
          <w:p w14:paraId="6B7F5939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20</w:t>
            </w:r>
          </w:p>
        </w:tc>
        <w:tc>
          <w:tcPr>
            <w:tcW w:w="1218" w:type="pct"/>
          </w:tcPr>
          <w:p w14:paraId="41F27AC5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+4</w:t>
            </w:r>
          </w:p>
        </w:tc>
      </w:tr>
      <w:tr w14:paraId="4E4F1DF1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pct"/>
            <w:noWrap/>
          </w:tcPr>
          <w:p w14:paraId="19AA19EE">
            <w:pPr>
              <w:rPr>
                <w:rFonts w:hint="eastAsia"/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Elm 学院</w:t>
            </w:r>
          </w:p>
        </w:tc>
        <w:tc>
          <w:tcPr>
            <w:tcW w:w="1218" w:type="pct"/>
          </w:tcPr>
          <w:p w14:paraId="2D668058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43</w:t>
            </w:r>
          </w:p>
        </w:tc>
        <w:tc>
          <w:tcPr>
            <w:tcW w:w="1218" w:type="pct"/>
          </w:tcPr>
          <w:p w14:paraId="0B02F251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53</w:t>
            </w:r>
          </w:p>
        </w:tc>
        <w:tc>
          <w:tcPr>
            <w:tcW w:w="1218" w:type="pct"/>
          </w:tcPr>
          <w:p w14:paraId="0FDD3641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-10</w:t>
            </w:r>
          </w:p>
        </w:tc>
      </w:tr>
      <w:tr w14:paraId="0D71A1D4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pct"/>
            <w:noWrap/>
          </w:tcPr>
          <w:p w14:paraId="3EEB6407">
            <w:pPr>
              <w:rPr>
                <w:rFonts w:hint="eastAsia"/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 xml:space="preserve">Maple 高等专科院校 </w:t>
            </w:r>
          </w:p>
        </w:tc>
        <w:tc>
          <w:tcPr>
            <w:tcW w:w="1218" w:type="pct"/>
          </w:tcPr>
          <w:p w14:paraId="0309EC9B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3</w:t>
            </w:r>
          </w:p>
        </w:tc>
        <w:tc>
          <w:tcPr>
            <w:tcW w:w="1218" w:type="pct"/>
          </w:tcPr>
          <w:p w14:paraId="55A34EB3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11</w:t>
            </w:r>
          </w:p>
        </w:tc>
        <w:tc>
          <w:tcPr>
            <w:tcW w:w="1218" w:type="pct"/>
          </w:tcPr>
          <w:p w14:paraId="33687577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-8</w:t>
            </w:r>
          </w:p>
        </w:tc>
      </w:tr>
      <w:tr w14:paraId="3034860D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pct"/>
            <w:noWrap/>
          </w:tcPr>
          <w:p w14:paraId="3DD08B23">
            <w:pPr>
              <w:rPr>
                <w:rFonts w:hint="eastAsia"/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Pine 学院</w:t>
            </w:r>
          </w:p>
        </w:tc>
        <w:tc>
          <w:tcPr>
            <w:tcW w:w="1218" w:type="pct"/>
          </w:tcPr>
          <w:p w14:paraId="7B4158F9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9</w:t>
            </w:r>
          </w:p>
        </w:tc>
        <w:tc>
          <w:tcPr>
            <w:tcW w:w="1218" w:type="pct"/>
          </w:tcPr>
          <w:p w14:paraId="262DF546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4</w:t>
            </w:r>
          </w:p>
        </w:tc>
        <w:tc>
          <w:tcPr>
            <w:tcW w:w="1218" w:type="pct"/>
          </w:tcPr>
          <w:p w14:paraId="65727912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+5</w:t>
            </w:r>
          </w:p>
        </w:tc>
      </w:tr>
      <w:tr w14:paraId="715AF09F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pct"/>
            <w:noWrap/>
          </w:tcPr>
          <w:p w14:paraId="46B63EA6">
            <w:pPr>
              <w:rPr>
                <w:rFonts w:hint="eastAsia"/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Oak 研究所</w:t>
            </w:r>
          </w:p>
        </w:tc>
        <w:tc>
          <w:tcPr>
            <w:tcW w:w="1218" w:type="pct"/>
          </w:tcPr>
          <w:p w14:paraId="292DE485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53</w:t>
            </w:r>
          </w:p>
        </w:tc>
        <w:tc>
          <w:tcPr>
            <w:tcW w:w="1218" w:type="pct"/>
          </w:tcPr>
          <w:p w14:paraId="736A0EFF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52</w:t>
            </w:r>
          </w:p>
        </w:tc>
        <w:tc>
          <w:tcPr>
            <w:tcW w:w="1218" w:type="pct"/>
          </w:tcPr>
          <w:p w14:paraId="60196EB6">
            <w:pPr>
              <w:pStyle w:val="40"/>
              <w:rPr>
                <w:rFonts w:hint="eastAsia"/>
              </w:rPr>
            </w:pPr>
            <w:r>
              <w:rPr>
                <w:lang w:val="zh-CN"/>
              </w:rPr>
              <w:t>+1</w:t>
            </w:r>
          </w:p>
        </w:tc>
      </w:tr>
      <w:tr w14:paraId="2324FBCA"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pct"/>
            <w:tcBorders>
              <w:top w:val="double" w:color="auto" w:sz="6" w:space="0"/>
              <w:left w:val="nil"/>
              <w:bottom w:val="single" w:color="auto" w:sz="18" w:space="0"/>
              <w:right w:val="nil"/>
              <w:insideH w:val="single" w:sz="18" w:space="0"/>
              <w:insideV w:val="nil"/>
            </w:tcBorders>
            <w:shd w:val="clear" w:color="auto" w:fill="FFFFFF" w:themeFill="background1"/>
            <w:noWrap/>
          </w:tcPr>
          <w:p w14:paraId="61722EEF">
            <w:pPr>
              <w:spacing w:before="0" w:after="0" w:line="240" w:lineRule="auto"/>
              <w:rPr>
                <w:rFonts w:hint="eastAsia"/>
                <w:color w:val="auto"/>
                <w:kern w:val="0"/>
                <w:sz w:val="22"/>
              </w:rPr>
            </w:pPr>
            <w:r>
              <w:rPr>
                <w:color w:val="auto"/>
                <w:kern w:val="0"/>
                <w:sz w:val="22"/>
                <w:lang w:val="zh-CN"/>
              </w:rPr>
              <w:t>总计</w:t>
            </w:r>
          </w:p>
        </w:tc>
        <w:tc>
          <w:tcPr>
            <w:tcW w:w="1218" w:type="pct"/>
            <w:tcBorders>
              <w:top w:val="double" w:color="auto" w:sz="6" w:space="0"/>
              <w:bottom w:val="single" w:color="auto" w:sz="18" w:space="0"/>
              <w:right w:val="nil"/>
              <w:insideH w:val="single" w:sz="18" w:space="0"/>
              <w:insideV w:val="nil"/>
            </w:tcBorders>
            <w:shd w:val="clear" w:color="auto" w:fill="FFFFFF" w:themeFill="background1"/>
          </w:tcPr>
          <w:p w14:paraId="0B20876E">
            <w:pPr>
              <w:pStyle w:val="40"/>
              <w:spacing w:before="0"/>
              <w:rPr>
                <w:rFonts w:hint="eastAsia"/>
                <w:color w:val="auto"/>
              </w:rPr>
            </w:pPr>
            <w:r>
              <w:rPr>
                <w:color w:val="auto"/>
                <w:lang w:val="zh-CN"/>
              </w:rPr>
              <w:t>998</w:t>
            </w:r>
          </w:p>
        </w:tc>
        <w:tc>
          <w:tcPr>
            <w:tcW w:w="1218" w:type="pct"/>
            <w:tcBorders>
              <w:top w:val="double" w:color="auto" w:sz="6" w:space="0"/>
              <w:bottom w:val="single" w:color="auto" w:sz="18" w:space="0"/>
              <w:right w:val="nil"/>
              <w:insideH w:val="single" w:sz="18" w:space="0"/>
              <w:insideV w:val="nil"/>
            </w:tcBorders>
            <w:shd w:val="clear" w:color="auto" w:fill="FFFFFF" w:themeFill="background1"/>
          </w:tcPr>
          <w:p w14:paraId="7B47650D">
            <w:pPr>
              <w:pStyle w:val="40"/>
              <w:spacing w:before="0"/>
              <w:rPr>
                <w:rFonts w:hint="eastAsia"/>
                <w:color w:val="auto"/>
              </w:rPr>
            </w:pPr>
            <w:r>
              <w:rPr>
                <w:color w:val="auto"/>
                <w:lang w:val="zh-CN"/>
              </w:rPr>
              <w:t>908</w:t>
            </w:r>
          </w:p>
        </w:tc>
        <w:tc>
          <w:tcPr>
            <w:tcW w:w="1218" w:type="pct"/>
            <w:tcBorders>
              <w:top w:val="double" w:color="auto" w:sz="6" w:space="0"/>
              <w:bottom w:val="single" w:color="auto" w:sz="18" w:space="0"/>
              <w:right w:val="nil"/>
              <w:insideH w:val="single" w:sz="18" w:space="0"/>
              <w:insideV w:val="nil"/>
            </w:tcBorders>
            <w:shd w:val="clear" w:color="auto" w:fill="FFFFFF" w:themeFill="background1"/>
          </w:tcPr>
          <w:p w14:paraId="37CB3BC6">
            <w:pPr>
              <w:pStyle w:val="40"/>
              <w:spacing w:before="0"/>
              <w:rPr>
                <w:rFonts w:hint="eastAsia"/>
                <w:color w:val="auto"/>
              </w:rPr>
            </w:pPr>
            <w:r>
              <w:rPr>
                <w:color w:val="auto"/>
                <w:lang w:val="zh-CN"/>
              </w:rPr>
              <w:t>90</w:t>
            </w:r>
          </w:p>
        </w:tc>
      </w:tr>
    </w:tbl>
    <w:p w14:paraId="3C1DD8DB">
      <w:pPr>
        <w:rPr>
          <w:rFonts w:hint="eastAsia"/>
          <w:b/>
          <w:bCs/>
        </w:rPr>
      </w:pPr>
    </w:p>
    <w:p w14:paraId="6724217C">
      <w:pPr>
        <w:rPr>
          <w:rFonts w:hint="eastAsia"/>
          <w:b/>
          <w:bCs/>
        </w:rPr>
      </w:pPr>
      <w:r>
        <w:rPr>
          <w:b/>
          <w:bCs/>
        </w:rPr>
        <w:t>二、研究生层面观察</w:t>
      </w:r>
    </w:p>
    <w:p w14:paraId="07FFC755">
      <w:pPr>
        <w:rPr>
          <w:rFonts w:hint="eastAsia"/>
        </w:rPr>
      </w:pPr>
      <w:r>
        <w:t>研究生方面，招生规模整体较小，但同样体现出一定的变化趋势：</w:t>
      </w:r>
    </w:p>
    <w:p w14:paraId="1CB23D66">
      <w:pPr>
        <w:numPr>
          <w:ilvl w:val="0"/>
          <w:numId w:val="1"/>
        </w:numPr>
        <w:rPr>
          <w:rFonts w:hint="eastAsia"/>
        </w:rPr>
      </w:pPr>
      <w:r>
        <w:rPr>
          <w:b/>
          <w:bCs/>
        </w:rPr>
        <w:t>Cedar 大学</w:t>
      </w:r>
      <w:r>
        <w:t>研究生招生 24 人，毕业 20 人，净增 4 人；</w:t>
      </w:r>
    </w:p>
    <w:p w14:paraId="3D6579C6">
      <w:pPr>
        <w:numPr>
          <w:ilvl w:val="0"/>
          <w:numId w:val="1"/>
        </w:numPr>
        <w:rPr>
          <w:rFonts w:hint="eastAsia"/>
        </w:rPr>
      </w:pPr>
      <w:r>
        <w:rPr>
          <w:b/>
          <w:bCs/>
        </w:rPr>
        <w:t>Elm 学院</w:t>
      </w:r>
      <w:r>
        <w:t>则出现逆向变化，毕业生（53）多于招生人数（43），净减少 10 人；</w:t>
      </w:r>
    </w:p>
    <w:p w14:paraId="1A44C80C">
      <w:pPr>
        <w:numPr>
          <w:ilvl w:val="0"/>
          <w:numId w:val="1"/>
        </w:numPr>
        <w:rPr>
          <w:rFonts w:hint="eastAsia"/>
        </w:rPr>
      </w:pPr>
      <w:r>
        <w:rPr>
          <w:b/>
          <w:bCs/>
        </w:rPr>
        <w:t>Maple 高等专科院校</w:t>
      </w:r>
      <w:r>
        <w:t>的研究生招生极为有限，仅为 3 人，毕业人数却达到 11 人，可能反映出上一年度的尾留项目释放，导致今年录取人数偏低；</w:t>
      </w:r>
    </w:p>
    <w:p w14:paraId="07CD5DF3">
      <w:pPr>
        <w:numPr>
          <w:ilvl w:val="0"/>
          <w:numId w:val="1"/>
        </w:numPr>
        <w:rPr>
          <w:rFonts w:hint="eastAsia"/>
        </w:rPr>
      </w:pPr>
      <w:r>
        <w:rPr>
          <w:b/>
          <w:bCs/>
        </w:rPr>
        <w:t>Pine 学院</w:t>
      </w:r>
      <w:r>
        <w:t>研究生招生为 9 人，毕业为 4 人，净增 5 人，是增长最明显的院校之一；</w:t>
      </w:r>
    </w:p>
    <w:p w14:paraId="625F3DB0">
      <w:pPr>
        <w:numPr>
          <w:ilvl w:val="0"/>
          <w:numId w:val="1"/>
        </w:numPr>
        <w:rPr>
          <w:rFonts w:hint="eastAsia"/>
        </w:rPr>
      </w:pPr>
      <w:r>
        <w:rPr>
          <w:b/>
          <w:bCs/>
        </w:rPr>
        <w:t>Oak 研究所</w:t>
      </w:r>
      <w:r>
        <w:t>研究生层面相对稳定，招生与毕业人数基本持平（53 vs. 52），净增 1 人。</w:t>
      </w:r>
    </w:p>
    <w:p w14:paraId="433AE044">
      <w:pPr>
        <w:rPr>
          <w:rFonts w:hint="eastAsia"/>
          <w:b/>
          <w:bCs/>
        </w:rPr>
      </w:pPr>
      <w:r>
        <w:rPr>
          <w:b/>
          <w:bCs/>
        </w:rPr>
        <w:t>三、总体趋势与分析</w:t>
      </w:r>
    </w:p>
    <w:p w14:paraId="0812E1D0">
      <w:pPr>
        <w:rPr>
          <w:rFonts w:hint="eastAsia"/>
        </w:rPr>
      </w:pPr>
      <w:r>
        <w:t>从总量看，地方高校的招生增长主要由本科阶段推动，研究生阶段仍处于缓慢发展过程中。</w:t>
      </w:r>
      <w:r>
        <w:rPr>
          <w:b/>
          <w:bCs/>
        </w:rPr>
        <w:t>Maple 高等专科院校</w:t>
      </w:r>
      <w:r>
        <w:t>的本科扩张尤为明显，而</w:t>
      </w:r>
      <w:r>
        <w:rPr>
          <w:b/>
          <w:bCs/>
        </w:rPr>
        <w:t>Elm 学院</w:t>
      </w:r>
      <w:r>
        <w:t>和</w:t>
      </w:r>
      <w:r>
        <w:rPr>
          <w:b/>
          <w:bCs/>
        </w:rPr>
        <w:t>Oak 研究所</w:t>
      </w:r>
      <w:r>
        <w:t>则在研究生培养方面呈现出一定波动，可能需进一步调整课程结构或学术资源配置。</w:t>
      </w:r>
    </w:p>
    <w:p w14:paraId="0205E6D4">
      <w:pPr>
        <w:rPr>
          <w:rFonts w:hint="eastAsia"/>
        </w:rPr>
      </w:pPr>
      <w:r>
        <w:t>这一年度的数据也为政策制定者提供了重要依据，显示出部分院校的办学重心可能在悄然转移。未来，在区域教育资源分配、院校分类发展及研究生教育普及方面，还需进一步优化政策与资源投入。</w:t>
      </w:r>
    </w:p>
    <w:tbl>
      <w:tblPr>
        <w:tblStyle w:val="20"/>
        <w:tblW w:w="5000" w:type="pct"/>
        <w:tblInd w:w="0" w:type="dxa"/>
        <w:tbl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1447"/>
        <w:gridCol w:w="1447"/>
        <w:gridCol w:w="1449"/>
        <w:gridCol w:w="1450"/>
        <w:gridCol w:w="1335"/>
      </w:tblGrid>
      <w:tr w14:paraId="7E714547"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pct"/>
            <w:tcBorders>
              <w:top w:val="nil"/>
              <w:left w:val="nil"/>
              <w:bottom w:val="single" w:color="4472C4" w:themeColor="accent1" w:sz="24" w:space="0"/>
              <w:right w:val="nil"/>
              <w:insideH w:val="single" w:sz="24" w:space="0"/>
              <w:insideV w:val="nil"/>
            </w:tcBorders>
            <w:shd w:val="clear" w:color="auto" w:fill="FFFFFF" w:themeFill="background1"/>
            <w:noWrap/>
          </w:tcPr>
          <w:p w14:paraId="4672F1A8">
            <w:pPr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  <w:szCs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szCs w:val="22"/>
                <w:lang w:val="zh-CN"/>
              </w:rPr>
              <w:t>城市或城镇</w:t>
            </w:r>
          </w:p>
        </w:tc>
        <w:tc>
          <w:tcPr>
            <w:tcW w:w="849" w:type="pct"/>
            <w:tcBorders>
              <w:top w:val="nil"/>
              <w:bottom w:val="single" w:color="4472C4" w:themeColor="accent1" w:sz="24" w:space="0"/>
              <w:right w:val="nil"/>
              <w:insideH w:val="single" w:sz="24" w:space="0"/>
              <w:insideV w:val="nil"/>
            </w:tcBorders>
            <w:shd w:val="clear" w:color="auto" w:fill="FFFFFF" w:themeFill="background1"/>
          </w:tcPr>
          <w:p w14:paraId="0F562719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  <w:szCs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szCs w:val="22"/>
                <w:lang w:val="zh-CN"/>
              </w:rPr>
              <w:t>点 A</w:t>
            </w:r>
          </w:p>
        </w:tc>
        <w:tc>
          <w:tcPr>
            <w:tcW w:w="849" w:type="pct"/>
            <w:tcBorders>
              <w:top w:val="nil"/>
              <w:bottom w:val="single" w:color="4472C4" w:themeColor="accent1" w:sz="24" w:space="0"/>
              <w:right w:val="nil"/>
              <w:insideH w:val="single" w:sz="24" w:space="0"/>
              <w:insideV w:val="nil"/>
            </w:tcBorders>
            <w:shd w:val="clear" w:color="auto" w:fill="FFFFFF" w:themeFill="background1"/>
          </w:tcPr>
          <w:p w14:paraId="6B87E41F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  <w:szCs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szCs w:val="22"/>
                <w:lang w:val="zh-CN"/>
              </w:rPr>
              <w:t>点 B</w:t>
            </w:r>
          </w:p>
        </w:tc>
        <w:tc>
          <w:tcPr>
            <w:tcW w:w="850" w:type="pct"/>
            <w:tcBorders>
              <w:top w:val="nil"/>
              <w:bottom w:val="single" w:color="4472C4" w:themeColor="accent1" w:sz="24" w:space="0"/>
              <w:right w:val="nil"/>
              <w:insideH w:val="single" w:sz="24" w:space="0"/>
              <w:insideV w:val="nil"/>
            </w:tcBorders>
            <w:shd w:val="clear" w:color="auto" w:fill="FFFFFF" w:themeFill="background1"/>
          </w:tcPr>
          <w:p w14:paraId="393836FE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  <w:szCs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szCs w:val="22"/>
                <w:lang w:val="zh-CN"/>
              </w:rPr>
              <w:t>点 C</w:t>
            </w:r>
          </w:p>
        </w:tc>
        <w:tc>
          <w:tcPr>
            <w:tcW w:w="851" w:type="pct"/>
            <w:tcBorders>
              <w:top w:val="nil"/>
              <w:bottom w:val="single" w:color="4472C4" w:themeColor="accent1" w:sz="24" w:space="0"/>
              <w:right w:val="nil"/>
              <w:insideH w:val="single" w:sz="24" w:space="0"/>
              <w:insideV w:val="nil"/>
            </w:tcBorders>
            <w:shd w:val="clear" w:color="auto" w:fill="FFFFFF" w:themeFill="background1"/>
          </w:tcPr>
          <w:p w14:paraId="436DA1C2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  <w:szCs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szCs w:val="22"/>
                <w:lang w:val="zh-CN"/>
              </w:rPr>
              <w:t>点 D</w:t>
            </w:r>
          </w:p>
        </w:tc>
        <w:tc>
          <w:tcPr>
            <w:tcW w:w="783" w:type="pct"/>
            <w:tcBorders>
              <w:top w:val="nil"/>
              <w:bottom w:val="single" w:color="4472C4" w:themeColor="accent1" w:sz="24" w:space="0"/>
              <w:right w:val="nil"/>
              <w:insideH w:val="single" w:sz="24" w:space="0"/>
              <w:insideV w:val="nil"/>
            </w:tcBorders>
            <w:shd w:val="clear" w:color="auto" w:fill="FFFFFF" w:themeFill="background1"/>
          </w:tcPr>
          <w:p w14:paraId="65C26A7C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  <w:szCs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szCs w:val="22"/>
                <w:lang w:val="zh-CN"/>
              </w:rPr>
              <w:t>点 E</w:t>
            </w:r>
          </w:p>
        </w:tc>
      </w:tr>
      <w:tr w14:paraId="4A59C6D8"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pct"/>
            <w:tcBorders>
              <w:top w:val="nil"/>
              <w:left w:val="nil"/>
              <w:bottom w:val="nil"/>
              <w:right w:val="single" w:color="4472C4" w:themeColor="accent1" w:sz="8" w:space="0"/>
              <w:insideH w:val="nil"/>
              <w:insideV w:val="single" w:sz="8" w:space="0"/>
            </w:tcBorders>
            <w:shd w:val="clear" w:color="auto" w:fill="FFFFFF" w:themeFill="background1"/>
            <w:noWrap/>
          </w:tcPr>
          <w:p w14:paraId="78DDD4A1">
            <w:pPr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lang w:val="zh-CN"/>
              </w:rPr>
              <w:t>点 A</w:t>
            </w:r>
          </w:p>
        </w:tc>
        <w:tc>
          <w:tcPr>
            <w:tcW w:w="849" w:type="pct"/>
            <w:tcBorders>
              <w:top w:val="nil"/>
              <w:bottom w:val="nil"/>
              <w:right w:val="nil"/>
              <w:insideH w:val="nil"/>
              <w:insideV w:val="nil"/>
            </w:tcBorders>
            <w:shd w:val="clear" w:color="auto" w:fill="D0DCF0" w:themeFill="accent1" w:themeFillTint="3F"/>
          </w:tcPr>
          <w:p w14:paraId="06CA2A98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lang w:val="zh-CN"/>
              </w:rPr>
              <w:t>—</w:t>
            </w:r>
          </w:p>
        </w:tc>
        <w:tc>
          <w:tcPr>
            <w:tcW w:w="849" w:type="pct"/>
            <w:tcBorders>
              <w:top w:val="nil"/>
              <w:bottom w:val="nil"/>
              <w:right w:val="nil"/>
              <w:insideH w:val="nil"/>
              <w:insideV w:val="nil"/>
            </w:tcBorders>
            <w:shd w:val="clear" w:color="auto" w:fill="D0DCF0" w:themeFill="accent1" w:themeFillTint="3F"/>
          </w:tcPr>
          <w:p w14:paraId="1AF12B4C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</w:p>
        </w:tc>
        <w:tc>
          <w:tcPr>
            <w:tcW w:w="850" w:type="pct"/>
            <w:tcBorders>
              <w:top w:val="nil"/>
              <w:bottom w:val="nil"/>
              <w:right w:val="nil"/>
              <w:insideH w:val="nil"/>
              <w:insideV w:val="nil"/>
            </w:tcBorders>
            <w:shd w:val="clear" w:color="auto" w:fill="D0DCF0" w:themeFill="accent1" w:themeFillTint="3F"/>
          </w:tcPr>
          <w:p w14:paraId="77FBA866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</w:p>
        </w:tc>
        <w:tc>
          <w:tcPr>
            <w:tcW w:w="851" w:type="pct"/>
            <w:tcBorders>
              <w:top w:val="nil"/>
              <w:bottom w:val="nil"/>
              <w:right w:val="nil"/>
              <w:insideH w:val="nil"/>
              <w:insideV w:val="nil"/>
            </w:tcBorders>
            <w:shd w:val="clear" w:color="auto" w:fill="D0DCF0" w:themeFill="accent1" w:themeFillTint="3F"/>
          </w:tcPr>
          <w:p w14:paraId="2EB372D9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</w:p>
        </w:tc>
        <w:tc>
          <w:tcPr>
            <w:tcW w:w="783" w:type="pct"/>
            <w:tcBorders>
              <w:top w:val="nil"/>
              <w:bottom w:val="nil"/>
              <w:insideH w:val="nil"/>
              <w:insideV w:val="nil"/>
            </w:tcBorders>
            <w:shd w:val="clear" w:color="auto" w:fill="D0DCF0" w:themeFill="accent1" w:themeFillTint="3F"/>
          </w:tcPr>
          <w:p w14:paraId="4AEDBBDD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</w:p>
        </w:tc>
      </w:tr>
      <w:tr w14:paraId="2E92091E"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pct"/>
            <w:tcBorders>
              <w:left w:val="nil"/>
              <w:bottom w:val="nil"/>
              <w:right w:val="single" w:color="4472C4" w:themeColor="accent1" w:sz="8" w:space="0"/>
              <w:insideH w:val="nil"/>
              <w:insideV w:val="single" w:sz="8" w:space="0"/>
            </w:tcBorders>
            <w:shd w:val="clear" w:color="auto" w:fill="FFFFFF" w:themeFill="background1"/>
            <w:noWrap/>
          </w:tcPr>
          <w:p w14:paraId="05ADCF03">
            <w:pPr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lang w:val="zh-CN"/>
              </w:rPr>
              <w:t>点 B</w:t>
            </w:r>
          </w:p>
        </w:tc>
        <w:tc>
          <w:tcPr>
            <w:tcW w:w="849" w:type="pct"/>
          </w:tcPr>
          <w:p w14:paraId="4F7516B8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lang w:val="zh-CN"/>
              </w:rPr>
              <w:t>87</w:t>
            </w:r>
          </w:p>
        </w:tc>
        <w:tc>
          <w:tcPr>
            <w:tcW w:w="849" w:type="pct"/>
          </w:tcPr>
          <w:p w14:paraId="38807D35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lang w:val="zh-CN"/>
              </w:rPr>
              <w:t>—</w:t>
            </w:r>
          </w:p>
        </w:tc>
        <w:tc>
          <w:tcPr>
            <w:tcW w:w="850" w:type="pct"/>
          </w:tcPr>
          <w:p w14:paraId="4F903509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</w:p>
        </w:tc>
        <w:tc>
          <w:tcPr>
            <w:tcW w:w="851" w:type="pct"/>
          </w:tcPr>
          <w:p w14:paraId="3C7C5CBE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</w:p>
        </w:tc>
        <w:tc>
          <w:tcPr>
            <w:tcW w:w="783" w:type="pct"/>
          </w:tcPr>
          <w:p w14:paraId="211F4603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</w:p>
        </w:tc>
      </w:tr>
      <w:tr w14:paraId="21952D41"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pct"/>
            <w:tcBorders>
              <w:top w:val="nil"/>
              <w:left w:val="nil"/>
              <w:bottom w:val="nil"/>
              <w:right w:val="single" w:color="4472C4" w:themeColor="accent1" w:sz="8" w:space="0"/>
              <w:insideH w:val="nil"/>
              <w:insideV w:val="single" w:sz="8" w:space="0"/>
            </w:tcBorders>
            <w:shd w:val="clear" w:color="auto" w:fill="FFFFFF" w:themeFill="background1"/>
            <w:noWrap/>
          </w:tcPr>
          <w:p w14:paraId="25328247">
            <w:pPr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lang w:val="zh-CN"/>
              </w:rPr>
              <w:t>点 C</w:t>
            </w:r>
          </w:p>
        </w:tc>
        <w:tc>
          <w:tcPr>
            <w:tcW w:w="849" w:type="pct"/>
            <w:tcBorders>
              <w:top w:val="nil"/>
              <w:bottom w:val="nil"/>
              <w:right w:val="nil"/>
              <w:insideH w:val="nil"/>
              <w:insideV w:val="nil"/>
            </w:tcBorders>
            <w:shd w:val="clear" w:color="auto" w:fill="D0DCF0" w:themeFill="accent1" w:themeFillTint="3F"/>
          </w:tcPr>
          <w:p w14:paraId="66B0AB1B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lang w:val="zh-CN"/>
              </w:rPr>
              <w:t>64</w:t>
            </w:r>
          </w:p>
        </w:tc>
        <w:tc>
          <w:tcPr>
            <w:tcW w:w="849" w:type="pct"/>
            <w:tcBorders>
              <w:top w:val="nil"/>
              <w:bottom w:val="nil"/>
              <w:right w:val="nil"/>
              <w:insideH w:val="nil"/>
              <w:insideV w:val="nil"/>
            </w:tcBorders>
            <w:shd w:val="clear" w:color="auto" w:fill="D0DCF0" w:themeFill="accent1" w:themeFillTint="3F"/>
          </w:tcPr>
          <w:p w14:paraId="2D9F9296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lang w:val="zh-CN"/>
              </w:rPr>
              <w:t>56</w:t>
            </w:r>
          </w:p>
        </w:tc>
        <w:tc>
          <w:tcPr>
            <w:tcW w:w="850" w:type="pct"/>
            <w:tcBorders>
              <w:top w:val="nil"/>
              <w:bottom w:val="nil"/>
              <w:right w:val="nil"/>
              <w:insideH w:val="nil"/>
              <w:insideV w:val="nil"/>
            </w:tcBorders>
            <w:shd w:val="clear" w:color="auto" w:fill="D0DCF0" w:themeFill="accent1" w:themeFillTint="3F"/>
          </w:tcPr>
          <w:p w14:paraId="19995B3F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lang w:val="zh-CN"/>
              </w:rPr>
              <w:t>—</w:t>
            </w:r>
          </w:p>
        </w:tc>
        <w:tc>
          <w:tcPr>
            <w:tcW w:w="851" w:type="pct"/>
            <w:tcBorders>
              <w:top w:val="nil"/>
              <w:bottom w:val="nil"/>
              <w:right w:val="nil"/>
              <w:insideH w:val="nil"/>
              <w:insideV w:val="nil"/>
            </w:tcBorders>
            <w:shd w:val="clear" w:color="auto" w:fill="D0DCF0" w:themeFill="accent1" w:themeFillTint="3F"/>
          </w:tcPr>
          <w:p w14:paraId="77ABBC91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</w:p>
        </w:tc>
        <w:tc>
          <w:tcPr>
            <w:tcW w:w="783" w:type="pct"/>
            <w:tcBorders>
              <w:top w:val="nil"/>
              <w:bottom w:val="nil"/>
              <w:insideH w:val="nil"/>
              <w:insideV w:val="nil"/>
            </w:tcBorders>
            <w:shd w:val="clear" w:color="auto" w:fill="D0DCF0" w:themeFill="accent1" w:themeFillTint="3F"/>
          </w:tcPr>
          <w:p w14:paraId="046A8172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</w:p>
        </w:tc>
      </w:tr>
      <w:tr w14:paraId="704D32C6"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pct"/>
            <w:tcBorders>
              <w:left w:val="nil"/>
              <w:bottom w:val="nil"/>
              <w:right w:val="single" w:color="4472C4" w:themeColor="accent1" w:sz="8" w:space="0"/>
              <w:insideH w:val="nil"/>
              <w:insideV w:val="single" w:sz="8" w:space="0"/>
            </w:tcBorders>
            <w:shd w:val="clear" w:color="auto" w:fill="FFFFFF" w:themeFill="background1"/>
            <w:noWrap/>
          </w:tcPr>
          <w:p w14:paraId="14834B67">
            <w:pPr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lang w:val="zh-CN"/>
              </w:rPr>
              <w:t>点 D</w:t>
            </w:r>
          </w:p>
        </w:tc>
        <w:tc>
          <w:tcPr>
            <w:tcW w:w="849" w:type="pct"/>
          </w:tcPr>
          <w:p w14:paraId="2784E5A2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lang w:val="zh-CN"/>
              </w:rPr>
              <w:t>37</w:t>
            </w:r>
          </w:p>
        </w:tc>
        <w:tc>
          <w:tcPr>
            <w:tcW w:w="849" w:type="pct"/>
          </w:tcPr>
          <w:p w14:paraId="75B85173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lang w:val="zh-CN"/>
              </w:rPr>
              <w:t>32</w:t>
            </w:r>
          </w:p>
        </w:tc>
        <w:tc>
          <w:tcPr>
            <w:tcW w:w="850" w:type="pct"/>
          </w:tcPr>
          <w:p w14:paraId="0540EB90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lang w:val="zh-CN"/>
              </w:rPr>
              <w:t>91</w:t>
            </w:r>
          </w:p>
        </w:tc>
        <w:tc>
          <w:tcPr>
            <w:tcW w:w="851" w:type="pct"/>
          </w:tcPr>
          <w:p w14:paraId="05089C67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lang w:val="zh-CN"/>
              </w:rPr>
              <w:t>—</w:t>
            </w:r>
          </w:p>
        </w:tc>
        <w:tc>
          <w:tcPr>
            <w:tcW w:w="783" w:type="pct"/>
          </w:tcPr>
          <w:p w14:paraId="779C78C7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</w:p>
        </w:tc>
      </w:tr>
      <w:tr w14:paraId="547ECB15"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pct"/>
            <w:tcBorders>
              <w:top w:val="nil"/>
              <w:left w:val="nil"/>
              <w:bottom w:val="nil"/>
              <w:right w:val="single" w:color="4472C4" w:themeColor="accent1" w:sz="8" w:space="0"/>
              <w:insideH w:val="nil"/>
              <w:insideV w:val="single" w:sz="8" w:space="0"/>
            </w:tcBorders>
            <w:shd w:val="clear" w:color="auto" w:fill="FFFFFF" w:themeFill="background1"/>
            <w:noWrap/>
          </w:tcPr>
          <w:p w14:paraId="431DCA5F">
            <w:pPr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lang w:val="zh-CN"/>
              </w:rPr>
              <w:t>点 E</w:t>
            </w:r>
          </w:p>
        </w:tc>
        <w:tc>
          <w:tcPr>
            <w:tcW w:w="849" w:type="pct"/>
            <w:tcBorders>
              <w:top w:val="nil"/>
              <w:bottom w:val="nil"/>
              <w:right w:val="nil"/>
              <w:insideH w:val="nil"/>
              <w:insideV w:val="nil"/>
            </w:tcBorders>
            <w:shd w:val="clear" w:color="auto" w:fill="D0DCF0" w:themeFill="accent1" w:themeFillTint="3F"/>
          </w:tcPr>
          <w:p w14:paraId="5D1ADF90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lang w:val="zh-CN"/>
              </w:rPr>
              <w:t>93</w:t>
            </w:r>
          </w:p>
        </w:tc>
        <w:tc>
          <w:tcPr>
            <w:tcW w:w="849" w:type="pct"/>
            <w:tcBorders>
              <w:top w:val="nil"/>
              <w:bottom w:val="nil"/>
              <w:right w:val="nil"/>
              <w:insideH w:val="nil"/>
              <w:insideV w:val="nil"/>
            </w:tcBorders>
            <w:shd w:val="clear" w:color="auto" w:fill="D0DCF0" w:themeFill="accent1" w:themeFillTint="3F"/>
          </w:tcPr>
          <w:p w14:paraId="63BA599B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lang w:val="zh-CN"/>
              </w:rPr>
              <w:t>35</w:t>
            </w:r>
          </w:p>
        </w:tc>
        <w:tc>
          <w:tcPr>
            <w:tcW w:w="850" w:type="pct"/>
            <w:tcBorders>
              <w:top w:val="nil"/>
              <w:bottom w:val="nil"/>
              <w:right w:val="nil"/>
              <w:insideH w:val="nil"/>
              <w:insideV w:val="nil"/>
            </w:tcBorders>
            <w:shd w:val="clear" w:color="auto" w:fill="D0DCF0" w:themeFill="accent1" w:themeFillTint="3F"/>
          </w:tcPr>
          <w:p w14:paraId="370D5ACF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lang w:val="zh-CN"/>
              </w:rPr>
              <w:t>54</w:t>
            </w:r>
          </w:p>
        </w:tc>
        <w:tc>
          <w:tcPr>
            <w:tcW w:w="851" w:type="pct"/>
            <w:tcBorders>
              <w:top w:val="nil"/>
              <w:bottom w:val="nil"/>
              <w:right w:val="nil"/>
              <w:insideH w:val="nil"/>
              <w:insideV w:val="nil"/>
            </w:tcBorders>
            <w:shd w:val="clear" w:color="auto" w:fill="D0DCF0" w:themeFill="accent1" w:themeFillTint="3F"/>
          </w:tcPr>
          <w:p w14:paraId="7A23D6CE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lang w:val="zh-CN"/>
              </w:rPr>
              <w:t>43</w:t>
            </w:r>
          </w:p>
        </w:tc>
        <w:tc>
          <w:tcPr>
            <w:tcW w:w="783" w:type="pct"/>
            <w:tcBorders>
              <w:top w:val="nil"/>
              <w:bottom w:val="nil"/>
              <w:insideH w:val="nil"/>
              <w:insideV w:val="nil"/>
            </w:tcBorders>
            <w:shd w:val="clear" w:color="auto" w:fill="D0DCF0" w:themeFill="accent1" w:themeFillTint="3F"/>
          </w:tcPr>
          <w:p w14:paraId="27F6C1D3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0"/>
                <w:sz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0"/>
                <w:sz w:val="22"/>
                <w:lang w:val="zh-CN"/>
              </w:rPr>
              <w:t>—</w:t>
            </w:r>
          </w:p>
        </w:tc>
      </w:tr>
    </w:tbl>
    <w:p w14:paraId="76A27D1A"/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8"/>
        <w:gridCol w:w="1703"/>
        <w:gridCol w:w="1703"/>
        <w:gridCol w:w="1703"/>
      </w:tblGrid>
      <w:tr w14:paraId="1A6873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B86206">
            <w:r>
              <w:t>年度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10FE5C">
            <w:r>
              <w:t>学校名称</w:t>
            </w:r>
          </w:p>
        </w:tc>
        <w:tc>
          <w:tcPr>
            <w:tcW w:w="3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C67275">
            <w:r>
              <w:t>本科生情况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5CF17C">
            <w:r>
              <w:t>备注</w:t>
            </w:r>
          </w:p>
        </w:tc>
      </w:tr>
      <w:tr w14:paraId="2EA76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EC275A"/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F1B0A2"/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4D201D">
            <w:r>
              <w:t>新生人数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D3FE41">
            <w:r>
              <w:t>毕业生人数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0FB53B"/>
        </w:tc>
      </w:tr>
      <w:tr w14:paraId="0CFF2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2CEC77">
            <w:r>
              <w:t>2005年</w:t>
            </w:r>
          </w:p>
          <w:p w14:paraId="68E9C73A"/>
          <w:p w14:paraId="3990E4DD"/>
          <w:p w14:paraId="33A13C37"/>
          <w:p w14:paraId="2D606899"/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AC3AC7">
            <w:r>
              <w:t>Cedar 大学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33C936">
            <w:r>
              <w:t>110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577F5B">
            <w:r>
              <w:t>103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48CF97">
            <w:r>
              <w:t>合计 +7</w:t>
            </w:r>
          </w:p>
        </w:tc>
      </w:tr>
      <w:tr w14:paraId="2E3D3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0551C7"/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CD3664">
            <w:r>
              <w:t>Elm 学院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A6BD76">
            <w:r>
              <w:t>223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06ECF31">
            <w:r>
              <w:t>214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0A797C">
            <w:r>
              <w:t>合计 +9</w:t>
            </w:r>
          </w:p>
        </w:tc>
      </w:tr>
      <w:tr w14:paraId="1B3A7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3DE386"/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51FA63">
            <w:r>
              <w:t>Maple 专科学院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180B14">
            <w:r>
              <w:t>197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F187EB">
            <w:r>
              <w:t>120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39B007">
            <w:r>
              <w:t>合计 +77</w:t>
            </w:r>
          </w:p>
        </w:tc>
      </w:tr>
      <w:tr w14:paraId="2BB5D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36E90E1"/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B140FCD">
            <w:r>
              <w:t>Pine 学院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54EDB2">
            <w:r>
              <w:t>134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A3AA5D">
            <w:r>
              <w:t>121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A633C3">
            <w:r>
              <w:t>合计 +13</w:t>
            </w:r>
          </w:p>
        </w:tc>
      </w:tr>
      <w:tr w14:paraId="4D1690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906239"/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2B5DAF">
            <w:r>
              <w:t>Oak 研究所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8375FE">
            <w:r>
              <w:t>202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A0AA6D">
            <w:r>
              <w:t>210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1708F3">
            <w:r>
              <w:t>合计 -8</w:t>
            </w:r>
          </w:p>
        </w:tc>
      </w:tr>
    </w:tbl>
    <w:p w14:paraId="45503B18">
      <w:r>
        <w:t xml:space="preserve"> </w:t>
      </w:r>
    </w:p>
    <w:p w14:paraId="710E7D1D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55602C"/>
    <w:multiLevelType w:val="multilevel"/>
    <w:tmpl w:val="305560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94"/>
    <w:rsid w:val="000535BD"/>
    <w:rsid w:val="0042766F"/>
    <w:rsid w:val="00852494"/>
    <w:rsid w:val="009B647D"/>
    <w:rsid w:val="00A67E7C"/>
    <w:rsid w:val="00A802A7"/>
    <w:rsid w:val="00C22D02"/>
    <w:rsid w:val="00D73197"/>
    <w:rsid w:val="00FA400B"/>
    <w:rsid w:val="00FC6C62"/>
    <w:rsid w:val="14DA2F1E"/>
    <w:rsid w:val="224B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21">
    <w:name w:val="Default Paragraph Font"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3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2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footnote text"/>
    <w:basedOn w:val="1"/>
    <w:link w:val="41"/>
    <w:unhideWhenUsed/>
    <w:uiPriority w:val="99"/>
    <w:pPr>
      <w:widowControl/>
      <w:jc w:val="left"/>
    </w:pPr>
    <w:rPr>
      <w:rFonts w:cs="Times New Roman"/>
      <w:kern w:val="0"/>
      <w:sz w:val="20"/>
      <w:szCs w:val="20"/>
    </w:rPr>
  </w:style>
  <w:style w:type="paragraph" w:styleId="1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6">
    <w:name w:val="Title"/>
    <w:basedOn w:val="1"/>
    <w:next w:val="1"/>
    <w:link w:val="31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8">
    <w:name w:val="Table Grid"/>
    <w:basedOn w:val="1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9">
    <w:name w:val="Medium Shading 2 Accent 5"/>
    <w:basedOn w:val="17"/>
    <w:uiPriority w:val="64"/>
    <w:rPr>
      <w:kern w:val="0"/>
      <w:sz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0">
    <w:name w:val="Medium List 2 Accent 1"/>
    <w:basedOn w:val="17"/>
    <w:uiPriority w:val="66"/>
    <w:rPr>
      <w:rFonts w:asciiTheme="majorHAnsi" w:hAnsiTheme="majorHAnsi" w:eastAsiaTheme="majorEastAsia" w:cstheme="majorBidi"/>
      <w:color w:val="000000" w:themeColor="text1"/>
      <w:kern w:val="0"/>
      <w:sz w:val="22"/>
      <w14:textFill>
        <w14:solidFill>
          <w14:schemeClr w14:val="tx1"/>
        </w14:solidFill>
      </w14:textFill>
    </w:rPr>
    <w:tblPr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472C4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C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22">
    <w:name w:val="标题 1 字符"/>
    <w:basedOn w:val="2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23">
    <w:name w:val="标题 2 字符"/>
    <w:basedOn w:val="2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4">
    <w:name w:val="标题 3 字符"/>
    <w:basedOn w:val="21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5">
    <w:name w:val="标题 4 字符"/>
    <w:basedOn w:val="21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6">
    <w:name w:val="标题 5 字符"/>
    <w:basedOn w:val="21"/>
    <w:link w:val="6"/>
    <w:semiHidden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7">
    <w:name w:val="标题 6 字符"/>
    <w:basedOn w:val="21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8">
    <w:name w:val="标题 7 字符"/>
    <w:basedOn w:val="21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8 字符"/>
    <w:basedOn w:val="21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9 字符"/>
    <w:basedOn w:val="21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标题 字符"/>
    <w:basedOn w:val="2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2">
    <w:name w:val="副标题 字符"/>
    <w:basedOn w:val="21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Quote"/>
    <w:basedOn w:val="1"/>
    <w:next w:val="1"/>
    <w:link w:val="34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引用 字符"/>
    <w:basedOn w:val="21"/>
    <w:link w:val="33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Intense Emphasis"/>
    <w:basedOn w:val="21"/>
    <w:qFormat/>
    <w:uiPriority w:val="21"/>
    <w:rPr>
      <w:i/>
      <w:iCs/>
      <w:color w:val="2F5597" w:themeColor="accent1" w:themeShade="BF"/>
    </w:rPr>
  </w:style>
  <w:style w:type="paragraph" w:styleId="37">
    <w:name w:val="Intense Quote"/>
    <w:basedOn w:val="1"/>
    <w:next w:val="1"/>
    <w:link w:val="38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8">
    <w:name w:val="明显引用 字符"/>
    <w:basedOn w:val="21"/>
    <w:link w:val="37"/>
    <w:uiPriority w:val="30"/>
    <w:rPr>
      <w:i/>
      <w:iCs/>
      <w:color w:val="2F5597" w:themeColor="accent1" w:themeShade="BF"/>
    </w:rPr>
  </w:style>
  <w:style w:type="character" w:customStyle="1" w:styleId="39">
    <w:name w:val="Intense Reference"/>
    <w:basedOn w:val="2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40">
    <w:name w:val="Decimal Aligned"/>
    <w:basedOn w:val="1"/>
    <w:qFormat/>
    <w:uiPriority w:val="40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character" w:customStyle="1" w:styleId="41">
    <w:name w:val="脚注文本 字符"/>
    <w:basedOn w:val="21"/>
    <w:link w:val="14"/>
    <w:uiPriority w:val="99"/>
    <w:rPr>
      <w:rFonts w:cs="Times New Roman"/>
      <w:kern w:val="0"/>
      <w:sz w:val="20"/>
      <w:szCs w:val="20"/>
    </w:rPr>
  </w:style>
  <w:style w:type="character" w:customStyle="1" w:styleId="42">
    <w:name w:val="Subtle Emphasis"/>
    <w:basedOn w:val="21"/>
    <w:qFormat/>
    <w:uiPriority w:val="19"/>
    <w:rPr>
      <w:i/>
      <w:iCs/>
    </w:rPr>
  </w:style>
  <w:style w:type="character" w:customStyle="1" w:styleId="43">
    <w:name w:val="页眉 字符"/>
    <w:basedOn w:val="21"/>
    <w:link w:val="12"/>
    <w:uiPriority w:val="99"/>
    <w:rPr>
      <w:sz w:val="18"/>
      <w:szCs w:val="18"/>
    </w:rPr>
  </w:style>
  <w:style w:type="character" w:customStyle="1" w:styleId="44">
    <w:name w:val="页脚 字符"/>
    <w:basedOn w:val="21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3455</Words>
  <Characters>3747</Characters>
  <Lines>10</Lines>
  <Paragraphs>3</Paragraphs>
  <TotalTime>23</TotalTime>
  <ScaleCrop>false</ScaleCrop>
  <LinksUpToDate>false</LinksUpToDate>
  <CharactersWithSpaces>3810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2025-07-24T06:44:00Z</dcterms:created>
  <dc:creator>银城 秦</dc:creator>
  <cp:lastModifiedBy>秦银城</cp:lastModifiedBy>
  <dcterms:modified xsi:type="dcterms:W3CDTF">2025-07-29T02:50:41Z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eyJoZGlkIjoiZTBmMGQzOWQxZTg2YTMzZjE4NjczODY2NWRhYjYzYjQiLCJ1c2VySWQiOiI4MzQyODIyNDUifQ==</vt:lpwstr>
  </property>
  <property fmtid="{D5CDD505-2E9C-101B-9397-08002B2CF9AE}" pid="3" name="KSOProductBuildVer">
    <vt:lpwstr>2052-12.1.0.21915</vt:lpwstr>
  </property>
  <property fmtid="{D5CDD505-2E9C-101B-9397-08002B2CF9AE}" pid="4" name="ICV">
    <vt:lpwstr>164141A45E6D49358BB823C7A6298FCF_12</vt:lpwstr>
  </property>
</Properties>
</file>