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2027年度贵州省基础研究计划（自然科学类）面上项目</w:t>
      </w:r>
    </w:p>
    <w:p>
      <w:pPr>
        <w:jc w:val="center"/>
      </w:pPr>
      <w:r>
        <w:rPr>
          <w:rFonts w:ascii="黑体" w:hAnsi="黑体" w:eastAsia="黑体"/>
          <w:b/>
          <w:sz w:val="32"/>
        </w:rPr>
        <w:t>申请书正文（改进稿）</w:t>
      </w:r>
    </w:p>
    <w:p>
      <w:pPr>
        <w:spacing w:line="312" w:lineRule="auto"/>
      </w:pPr>
      <w:r>
        <w:rPr>
          <w:rFonts w:ascii="楷体" w:hAnsi="楷体" w:eastAsia="楷体"/>
          <w:b w:val="0"/>
          <w:color w:val="C00000"/>
          <w:sz w:val="21"/>
        </w:rPr>
        <w:t>【填写提示】本稿按国家自然科学基金面上项目正文结构撰写，各部分可直接复制到“贵州科技大脑”对应栏目；栏目名称、字数上限以系统为准。红色楷体为填写提示，提交前全部删除。</w:t>
      </w:r>
    </w:p>
    <w:tbl>
      <w:tblPr>
        <w:tblStyle w:val="TableGrid"/>
        <w:tblW w:type="auto" w:w="0"/>
        <w:tblLayout w:type="fixed"/>
        <w:tblLook w:firstColumn="1" w:firstRow="1" w:lastColumn="0" w:lastRow="0" w:noHBand="0" w:noVBand="1" w:val="04A0"/>
      </w:tblPr>
      <w:tblGrid>
        <w:gridCol w:w="1984"/>
        <w:gridCol w:w="6973"/>
      </w:tblGrid>
      <w:tr>
        <w:tc>
          <w:tcPr>
            <w:tcW w:type="dxa" w:w="1984"/>
          </w:tcPr>
          <w:p>
            <w:r/>
            <w:r>
              <w:rPr>
                <w:rFonts w:ascii="宋体" w:hAnsi="宋体" w:eastAsia="宋体"/>
                <w:b/>
                <w:sz w:val="21"/>
              </w:rPr>
              <w:t>项目</w:t>
            </w:r>
          </w:p>
        </w:tc>
        <w:tc>
          <w:tcPr>
            <w:tcW w:type="dxa" w:w="6973"/>
          </w:tcPr>
          <w:p>
            <w:r/>
            <w:r>
              <w:rPr>
                <w:rFonts w:ascii="宋体" w:hAnsi="宋体" w:eastAsia="宋体"/>
                <w:b/>
                <w:sz w:val="21"/>
              </w:rPr>
              <w:t>内容</w:t>
            </w:r>
          </w:p>
        </w:tc>
      </w:tr>
      <w:tr>
        <w:tc>
          <w:tcPr>
            <w:tcW w:type="dxa" w:w="1984"/>
          </w:tcPr>
          <w:p>
            <w:r/>
            <w:r>
              <w:rPr>
                <w:rFonts w:ascii="宋体" w:hAnsi="宋体" w:eastAsia="宋体"/>
                <w:b w:val="0"/>
                <w:sz w:val="21"/>
              </w:rPr>
              <w:t>项目名称</w:t>
            </w:r>
          </w:p>
        </w:tc>
        <w:tc>
          <w:tcPr>
            <w:tcW w:type="dxa" w:w="6973"/>
          </w:tcPr>
          <w:p>
            <w:r/>
            <w:r>
              <w:rPr>
                <w:rFonts w:ascii="宋体" w:hAnsi="宋体" w:eastAsia="宋体"/>
                <w:b w:val="0"/>
                <w:sz w:val="21"/>
              </w:rPr>
              <w:t>传承人知识约束下苗族背扇纹样生成的文化一致性表征与人机协同机理研究</w:t>
            </w:r>
          </w:p>
        </w:tc>
      </w:tr>
      <w:tr>
        <w:tc>
          <w:tcPr>
            <w:tcW w:type="dxa" w:w="1984"/>
          </w:tcPr>
          <w:p>
            <w:r/>
            <w:r>
              <w:rPr>
                <w:rFonts w:ascii="宋体" w:hAnsi="宋体" w:eastAsia="宋体"/>
                <w:b w:val="0"/>
                <w:sz w:val="21"/>
              </w:rPr>
              <w:t>项目类别</w:t>
            </w:r>
          </w:p>
        </w:tc>
        <w:tc>
          <w:tcPr>
            <w:tcW w:type="dxa" w:w="6973"/>
          </w:tcPr>
          <w:p>
            <w:r/>
            <w:r>
              <w:rPr>
                <w:rFonts w:ascii="宋体" w:hAnsi="宋体" w:eastAsia="宋体"/>
                <w:b w:val="0"/>
                <w:sz w:val="21"/>
              </w:rPr>
              <w:t>面上项目（自由探索）</w:t>
            </w:r>
          </w:p>
        </w:tc>
      </w:tr>
      <w:tr>
        <w:tc>
          <w:tcPr>
            <w:tcW w:type="dxa" w:w="1984"/>
          </w:tcPr>
          <w:p>
            <w:r/>
            <w:r>
              <w:rPr>
                <w:rFonts w:ascii="宋体" w:hAnsi="宋体" w:eastAsia="宋体"/>
                <w:b w:val="0"/>
                <w:sz w:val="21"/>
              </w:rPr>
              <w:t>申请代码</w:t>
            </w:r>
          </w:p>
        </w:tc>
        <w:tc>
          <w:tcPr>
            <w:tcW w:type="dxa" w:w="6973"/>
          </w:tcPr>
          <w:p>
            <w:r/>
            <w:r>
              <w:rPr>
                <w:rFonts w:ascii="宋体" w:hAnsi="宋体" w:eastAsia="宋体"/>
                <w:b w:val="0"/>
                <w:sz w:val="21"/>
              </w:rPr>
              <w:t>F0610 交叉学科中的人工智能问题（备选：F0607 知识表示与处理）</w:t>
            </w:r>
          </w:p>
        </w:tc>
      </w:tr>
      <w:tr>
        <w:tc>
          <w:tcPr>
            <w:tcW w:type="dxa" w:w="1984"/>
          </w:tcPr>
          <w:p>
            <w:r/>
            <w:r>
              <w:rPr>
                <w:rFonts w:ascii="宋体" w:hAnsi="宋体" w:eastAsia="宋体"/>
                <w:b w:val="0"/>
                <w:sz w:val="21"/>
              </w:rPr>
              <w:t>申请人</w:t>
            </w:r>
          </w:p>
        </w:tc>
        <w:tc>
          <w:tcPr>
            <w:tcW w:type="dxa" w:w="6973"/>
          </w:tcPr>
          <w:p>
            <w:r/>
            <w:r>
              <w:rPr>
                <w:rFonts w:ascii="宋体" w:hAnsi="宋体" w:eastAsia="宋体"/>
                <w:b w:val="0"/>
                <w:sz w:val="21"/>
              </w:rPr>
              <w:t>於厚荣（讲师，硕士，凯里学院大数据工程学院）</w:t>
            </w:r>
          </w:p>
        </w:tc>
      </w:tr>
      <w:tr>
        <w:tc>
          <w:tcPr>
            <w:tcW w:type="dxa" w:w="1984"/>
          </w:tcPr>
          <w:p>
            <w:r/>
            <w:r>
              <w:rPr>
                <w:rFonts w:ascii="宋体" w:hAnsi="宋体" w:eastAsia="宋体"/>
                <w:b w:val="0"/>
                <w:sz w:val="21"/>
              </w:rPr>
              <w:t>申报单位</w:t>
            </w:r>
          </w:p>
        </w:tc>
        <w:tc>
          <w:tcPr>
            <w:tcW w:type="dxa" w:w="6973"/>
          </w:tcPr>
          <w:p>
            <w:r/>
            <w:r>
              <w:rPr>
                <w:rFonts w:ascii="宋体" w:hAnsi="宋体" w:eastAsia="宋体"/>
                <w:b w:val="0"/>
                <w:sz w:val="21"/>
              </w:rPr>
              <w:t>凯里学院</w:t>
            </w:r>
          </w:p>
        </w:tc>
      </w:tr>
      <w:tr>
        <w:tc>
          <w:tcPr>
            <w:tcW w:type="dxa" w:w="1984"/>
          </w:tcPr>
          <w:p>
            <w:r/>
            <w:r>
              <w:rPr>
                <w:rFonts w:ascii="宋体" w:hAnsi="宋体" w:eastAsia="宋体"/>
                <w:b w:val="0"/>
                <w:sz w:val="21"/>
              </w:rPr>
              <w:t>研究期限</w:t>
            </w:r>
          </w:p>
        </w:tc>
        <w:tc>
          <w:tcPr>
            <w:tcW w:type="dxa" w:w="6973"/>
          </w:tcPr>
          <w:p>
            <w:r/>
            <w:r>
              <w:rPr>
                <w:rFonts w:ascii="宋体" w:hAnsi="宋体" w:eastAsia="宋体"/>
                <w:b w:val="0"/>
                <w:sz w:val="21"/>
              </w:rPr>
              <w:t>2027年1月1日—2029年12月31日（3年）</w:t>
            </w:r>
          </w:p>
        </w:tc>
      </w:tr>
      <w:tr>
        <w:tc>
          <w:tcPr>
            <w:tcW w:type="dxa" w:w="1984"/>
          </w:tcPr>
          <w:p>
            <w:r/>
            <w:r>
              <w:rPr>
                <w:rFonts w:ascii="宋体" w:hAnsi="宋体" w:eastAsia="宋体"/>
                <w:b w:val="0"/>
                <w:sz w:val="21"/>
              </w:rPr>
              <w:t>申请经费</w:t>
            </w:r>
          </w:p>
        </w:tc>
        <w:tc>
          <w:tcPr>
            <w:tcW w:type="dxa" w:w="6973"/>
          </w:tcPr>
          <w:p>
            <w:r/>
            <w:r>
              <w:rPr>
                <w:rFonts w:ascii="宋体" w:hAnsi="宋体" w:eastAsia="宋体"/>
                <w:b w:val="0"/>
                <w:sz w:val="21"/>
              </w:rPr>
              <w:t>10万元（经费包干制，无需编制详细预算）</w:t>
            </w:r>
          </w:p>
        </w:tc>
      </w:tr>
      <w:tr>
        <w:tc>
          <w:tcPr>
            <w:tcW w:type="dxa" w:w="1984"/>
          </w:tcPr>
          <w:p>
            <w:r/>
            <w:r>
              <w:rPr>
                <w:rFonts w:ascii="宋体" w:hAnsi="宋体" w:eastAsia="宋体"/>
                <w:b w:val="0"/>
                <w:sz w:val="21"/>
              </w:rPr>
              <w:t>关键词</w:t>
            </w:r>
          </w:p>
        </w:tc>
        <w:tc>
          <w:tcPr>
            <w:tcW w:type="dxa" w:w="6973"/>
          </w:tcPr>
          <w:p>
            <w:r/>
            <w:r>
              <w:rPr>
                <w:rFonts w:ascii="宋体" w:hAnsi="宋体" w:eastAsia="宋体"/>
                <w:b w:val="0"/>
                <w:sz w:val="21"/>
              </w:rPr>
              <w:t>生成式人工智能；文化一致性；知识表征；人机协同；苗族背扇纹样</w:t>
            </w:r>
          </w:p>
        </w:tc>
      </w:tr>
    </w:tbl>
    <w:p/>
    <w:p>
      <w:pPr>
        <w:spacing w:line="312" w:lineRule="auto"/>
      </w:pPr>
      <w:r>
        <w:rPr>
          <w:rFonts w:ascii="楷体" w:hAnsi="楷体" w:eastAsia="楷体"/>
          <w:b w:val="0"/>
          <w:color w:val="C00000"/>
          <w:sz w:val="21"/>
        </w:rPr>
        <w:t>【填写提示】申请代码请在系统下拉框中核实二级代码名称；若评审更看重“图形/图像”方向，也可选F02下的计算机图形学或图像处理类代码。题目符合“××研究”格式，未使用“关键技术”“应用示范”“测试”“方案设计”等写法。</w:t>
      </w:r>
    </w:p>
    <w:p>
      <w:pPr>
        <w:spacing w:before="240" w:after="120"/>
      </w:pPr>
      <w:r>
        <w:rPr>
          <w:rFonts w:ascii="黑体" w:hAnsi="黑体" w:eastAsia="黑体"/>
          <w:b/>
          <w:sz w:val="30"/>
        </w:rPr>
        <w:t>项目摘要</w:t>
      </w:r>
    </w:p>
    <w:p>
      <w:pPr>
        <w:spacing w:line="360" w:lineRule="auto" w:after="0"/>
        <w:ind w:firstLine="480"/>
      </w:pPr>
      <w:r>
        <w:rPr>
          <w:rFonts w:ascii="宋体" w:hAnsi="宋体" w:eastAsia="宋体"/>
          <w:b w:val="0"/>
          <w:sz w:val="24"/>
        </w:rPr>
        <w:t>生成式人工智能已被广泛用于民族纹样设计，但其生成结果普遍存在“形似而义失”的问题：视觉风格逼真，却违背纹样的构图秩序、母题语义与使用禁忌。其科学根源在于，决定纹样文化身份的规则以传承人默会知识的形式存在，既缺乏可计算的表征，也缺乏可度量的评估标准，更未进入生成回路。本项目以黔东南苗族背扇刺绣纹样为对象，围绕“默会文化规则如何形式化表征、文化一致性如何自动度量、传承人约束如何作用于人机协同生成”三个科学问题，开展以下研究：（1）以单维度改动的真伪刺激图诱发传承人判断，结合德尔菲评议，构建“禁用—守正—开放”三层文化规则知识图谱；（2）构建融合部件检测、结构关系解析与规则推理的文化一致性评估模型，实现可解释的边界违背判别，并以传承人盲评检验其效度；（3）提出将禁用层作为硬约束、守正层作为软约束的规则约束引导生成方法；（4）通过随机对照实验揭示规则约束与传承人审定对边界违背率、创新性与设计效率的作用机理及其权衡规律。预期形成带规则标注的背扇纹样数据集、文化规则知识图谱与评估模型，发表较高水平论文2篇以上，为生成式人工智能在民族文化领域的可信应用提供理论依据与方法支撑。</w:t>
      </w:r>
    </w:p>
    <w:p>
      <w:pPr>
        <w:spacing w:line="312" w:lineRule="auto"/>
      </w:pPr>
      <w:r>
        <w:rPr>
          <w:rFonts w:ascii="楷体" w:hAnsi="楷体" w:eastAsia="楷体"/>
          <w:b w:val="0"/>
          <w:color w:val="C00000"/>
          <w:sz w:val="21"/>
        </w:rPr>
        <w:t>【填写提示】摘要约480字；若系统限400字，可删去括号中的(3)。</w:t>
      </w:r>
    </w:p>
    <w:p>
      <w:pPr>
        <w:spacing w:before="240" w:after="120"/>
      </w:pPr>
      <w:r>
        <w:rPr>
          <w:rFonts w:ascii="黑体" w:hAnsi="黑体" w:eastAsia="黑体"/>
          <w:b/>
          <w:sz w:val="30"/>
        </w:rPr>
        <w:t>一、立项依据</w:t>
      </w:r>
    </w:p>
    <w:p>
      <w:pPr>
        <w:spacing w:before="120" w:after="60"/>
      </w:pPr>
      <w:r>
        <w:rPr>
          <w:rFonts w:ascii="黑体" w:hAnsi="黑体" w:eastAsia="黑体"/>
          <w:b/>
          <w:sz w:val="26"/>
        </w:rPr>
        <w:t>（一）研究意义</w:t>
      </w:r>
    </w:p>
    <w:p>
      <w:pPr>
        <w:spacing w:line="360" w:lineRule="auto" w:after="0"/>
        <w:ind w:firstLine="480"/>
      </w:pPr>
      <w:r>
        <w:rPr>
          <w:rFonts w:ascii="宋体" w:hAnsi="宋体" w:eastAsia="宋体"/>
          <w:b w:val="0"/>
          <w:sz w:val="24"/>
        </w:rPr>
        <w:t>生成式人工智能正在改变民族纹样的设计、展示与文创开发方式。以扩散模型为代表的文生图技术使“民族风格”图案的批量生成门槛大幅降低，但生成模型学习的是像素与风格的统计相关性，而非纹样背后的文化规则。课题组前期试生成观察发现，生成的苗族背扇纹样在色彩与针迹质感上高度逼真，却常见主副纹错位、母题误用、禁忌组合，甚至把具有仪式性或家族性的纹样随意用于商品。这类“形似而义失”的错误，既无法被通用图像质量指标（如FID、CLIP Score）识别，也难以靠增加训练样本消除——前期观察显示，仅靠样本投喂难以纠正构图次序与母题语义层面的偏离，在提示中加入规则描述后偏离有所减少但不稳定。</w:t>
      </w:r>
    </w:p>
    <w:p>
      <w:pPr>
        <w:spacing w:line="360" w:lineRule="auto" w:after="0"/>
        <w:ind w:firstLine="480"/>
      </w:pPr>
      <w:r>
        <w:rPr>
          <w:rFonts w:ascii="宋体" w:hAnsi="宋体" w:eastAsia="宋体"/>
          <w:b w:val="0"/>
          <w:sz w:val="24"/>
        </w:rPr>
        <w:t>问题的科学本质有三层：其一是表征问题，决定纹样文化身份的规则是传承人的默会知识，“知道的多于能说出的”，尚无可计算的形式化表达；其二是度量问题，“文化上是否恰当”缺少可操作、可复现、与传承人判断一致的评估方法；其三是协同问题，在人机协同生成中，专家知识以何种形式、在哪个环节介入，才能在降低文化违背的同时不过度压缩创新空间，其作用机理尚不清楚。</w:t>
      </w:r>
    </w:p>
    <w:p>
      <w:pPr>
        <w:spacing w:line="360" w:lineRule="auto" w:after="0"/>
        <w:ind w:firstLine="480"/>
      </w:pPr>
      <w:r>
        <w:rPr>
          <w:rFonts w:ascii="宋体" w:hAnsi="宋体" w:eastAsia="宋体"/>
          <w:b w:val="0"/>
          <w:sz w:val="24"/>
        </w:rPr>
        <w:t>苗族刺绣是首批国家级非物质文化遗产代表性项目，贵州是全国苗族人口最多的省份，黔东南是苗绣传承的核心区。《国务院关于深入实施“人工智能+”行动的意见》在鼓励利用人工智能辅助创作中华文化元素内容的同时，要求防范模型“幻觉”与“算法歧视”[2]；《人工智能生成合成内容标识办法》对生成内容提出了规范要求[30]。本项目以苗族背扇纹样为典型对象，研究文化规则的可计算表征、文化一致性的自动度量与人机协同机理，可为“可信人工智能”在文化领域的落地提供来自中国少数民族非遗的理论与方法，也直接服务贵州民族文化资源的数字化保护与创造性转化。</w:t>
      </w:r>
    </w:p>
    <w:p>
      <w:pPr>
        <w:spacing w:before="120" w:after="60"/>
      </w:pPr>
      <w:r>
        <w:rPr>
          <w:rFonts w:ascii="黑体" w:hAnsi="黑体" w:eastAsia="黑体"/>
          <w:b/>
          <w:sz w:val="26"/>
        </w:rPr>
        <w:t>（二）国内外研究现状及发展动态分析</w:t>
      </w:r>
    </w:p>
    <w:p>
      <w:pPr>
        <w:spacing w:line="360" w:lineRule="auto" w:after="0"/>
        <w:ind w:firstLine="480"/>
      </w:pPr>
      <w:r>
        <w:rPr>
          <w:rFonts w:ascii="宋体" w:hAnsi="宋体" w:eastAsia="宋体"/>
          <w:b w:val="0"/>
          <w:sz w:val="24"/>
        </w:rPr>
        <w:t>1．生成式模型与传统纹样生成：解决了“像”，未解决“对”。</w:t>
      </w:r>
    </w:p>
    <w:p>
      <w:pPr>
        <w:spacing w:line="360" w:lineRule="auto" w:after="0"/>
        <w:ind w:firstLine="480"/>
      </w:pPr>
      <w:r>
        <w:rPr>
          <w:rFonts w:ascii="宋体" w:hAnsi="宋体" w:eastAsia="宋体"/>
          <w:b w:val="0"/>
          <w:sz w:val="24"/>
        </w:rPr>
        <w:t>潜在扩散模型[3]、条件控制网络[33]与低秩适配微调[34]使风格化纹样的可控生成成为可能，国内学者已围绕陶瓷、刺绣、织锦等传统纹样开展生成、修复与风格迁移研究[4-5]。这类研究多以视觉相似为优化目标，评价依赖通用图像指标或设计者主观判断。形状文法[6]等符号化方法能够描述几何构图规则，但难以涵盖母题语义、禁忌与使用情境。总体而言，现有工作回答了“能否生成得像”，尚未回答“生成得对不对、该不该生成”。</w:t>
      </w:r>
    </w:p>
    <w:p>
      <w:pPr>
        <w:spacing w:line="360" w:lineRule="auto" w:after="0"/>
        <w:ind w:firstLine="480"/>
      </w:pPr>
      <w:r>
        <w:rPr>
          <w:rFonts w:ascii="宋体" w:hAnsi="宋体" w:eastAsia="宋体"/>
          <w:b w:val="0"/>
          <w:sz w:val="24"/>
        </w:rPr>
        <w:t>2．文生图模型的文化表征偏差：诊断较多，可计算的干预与度量较少。</w:t>
      </w:r>
    </w:p>
    <w:p>
      <w:pPr>
        <w:spacing w:line="360" w:lineRule="auto" w:after="0"/>
        <w:ind w:firstLine="480"/>
      </w:pPr>
      <w:r>
        <w:rPr>
          <w:rFonts w:ascii="宋体" w:hAnsi="宋体" w:eastAsia="宋体"/>
          <w:b w:val="0"/>
          <w:sz w:val="24"/>
        </w:rPr>
        <w:t>Bianchi等发现文生图模型会大规模放大人群刻板印象[8]；Qadri等基于南亚社区的研究表明，模型对非西方文化存在系统性表征偏差，并主张由文化社区参与界定何为恰当表征[9]；Basu等揭示了文生图模型在地理与文化代表性上的显著不均衡[35]。国内学者讨论了生成式人工智能介入文化主体性建设的风险[10]与文化遗产生成性利用的规制问题[11]，并在藏族邦典绘本生成实践中提出技术可供性与文化约束性之间的“人智平衡”[12]。这些研究确立了“文化恰当性”作为可信人工智能议题的重要性，但多停留于偏差诊断，缺少细粒度、可解释、与文化持有者判断一致的度量方法，更缺少将社区知识嵌入生成流程并检验其效果的研究。</w:t>
      </w:r>
    </w:p>
    <w:p>
      <w:pPr>
        <w:spacing w:line="360" w:lineRule="auto" w:after="0"/>
        <w:ind w:firstLine="480"/>
      </w:pPr>
      <w:r>
        <w:rPr>
          <w:rFonts w:ascii="宋体" w:hAnsi="宋体" w:eastAsia="宋体"/>
          <w:b w:val="0"/>
          <w:sz w:val="24"/>
        </w:rPr>
        <w:t>3．知识表征与知识引导生成：方法成熟，但缺少面向默会文化规则的表征。</w:t>
      </w:r>
    </w:p>
    <w:p>
      <w:pPr>
        <w:spacing w:line="360" w:lineRule="auto" w:after="0"/>
        <w:ind w:firstLine="480"/>
      </w:pPr>
      <w:r>
        <w:rPr>
          <w:rFonts w:ascii="宋体" w:hAnsi="宋体" w:eastAsia="宋体"/>
          <w:b w:val="0"/>
          <w:sz w:val="24"/>
        </w:rPr>
        <w:t>知识图谱为结构化表达实体、属性与约束关系提供了成熟框架[36]；视觉基础模型（如CLIP[37]、SAM[38]）使图像部件识别与图文语义对齐成为可能，为“部件—结构—语义”层面的规则检验提供了技术基础。然而，现有知识引导生成研究处理的多是显性、通用的常识知识；民族纹样规则具有默会性、情境依赖性和支系差异性，常以“不能这样”的否定形式出现，如何从传承人判断中获取并分层表征这类规则，仍是空白。</w:t>
      </w:r>
    </w:p>
    <w:p>
      <w:pPr>
        <w:spacing w:line="360" w:lineRule="auto" w:after="0"/>
        <w:ind w:firstLine="480"/>
      </w:pPr>
      <w:r>
        <w:rPr>
          <w:rFonts w:ascii="宋体" w:hAnsi="宋体" w:eastAsia="宋体"/>
          <w:b w:val="0"/>
          <w:sz w:val="24"/>
        </w:rPr>
        <w:t>4．人机协同与人在回路：通用准则较多，文化情境下的作用机理缺少实证。</w:t>
      </w:r>
    </w:p>
    <w:p>
      <w:pPr>
        <w:spacing w:line="360" w:lineRule="auto" w:after="0"/>
        <w:ind w:firstLine="480"/>
      </w:pPr>
      <w:r>
        <w:rPr>
          <w:rFonts w:ascii="宋体" w:hAnsi="宋体" w:eastAsia="宋体"/>
          <w:b w:val="0"/>
          <w:sz w:val="24"/>
        </w:rPr>
        <w:t>人机交互研究提出了人机协同设计的通用准则[39]，基于人类反馈的对齐方法表明专家反馈可以有效修正模型输出[40]；参与式设计与共创理论主张让利益相关者进入设计全过程[20]，联合国教科文组织伦理原则强调社区在非遗利用中的首要作用[22]。国内已有研究讨论非遗创新设计中多元主体的协同机制[24]与传承人在智能化传承中面临的话语困境[19]。但“专家约束在生成流程中的介入位置与强度如何影响文化违背率与创新性”这一问题，尚缺少受控实验证据，二者之间的权衡规律也未被刻画。</w:t>
      </w:r>
    </w:p>
    <w:p>
      <w:pPr>
        <w:spacing w:line="360" w:lineRule="auto" w:after="0"/>
        <w:ind w:firstLine="480"/>
      </w:pPr>
      <w:r>
        <w:rPr>
          <w:rFonts w:ascii="宋体" w:hAnsi="宋体" w:eastAsia="宋体"/>
          <w:b w:val="0"/>
          <w:sz w:val="24"/>
        </w:rPr>
        <w:t>5．苗族服饰与背扇纹样研究：积累深厚，尚未转化为可计算规则。</w:t>
      </w:r>
    </w:p>
    <w:p>
      <w:pPr>
        <w:spacing w:line="360" w:lineRule="auto" w:after="0"/>
        <w:ind w:firstLine="480"/>
      </w:pPr>
      <w:r>
        <w:rPr>
          <w:rFonts w:ascii="宋体" w:hAnsi="宋体" w:eastAsia="宋体"/>
          <w:b w:val="0"/>
          <w:sz w:val="24"/>
        </w:rPr>
        <w:t>民族学与艺术学对苗族服饰的支系分布、纹样母题及其象征意义已有深厚积累[25-26]，关于“母花”的界定[27]、施洞苗族纹样秩序[28]与舟溪苗族背带特征变迁[29]的研究，已触及纹样中相对稳定的结构规范。但现有成果以描述和阐释为主，没有以结构化、可推理的形式区分必守项与可变项，难以直接进入计算流程。</w:t>
      </w:r>
    </w:p>
    <w:p>
      <w:pPr>
        <w:spacing w:line="360" w:lineRule="auto" w:after="0"/>
        <w:ind w:firstLine="480"/>
      </w:pPr>
      <w:r>
        <w:rPr>
          <w:rFonts w:ascii="宋体" w:hAnsi="宋体" w:eastAsia="宋体"/>
          <w:b w:val="0"/>
          <w:sz w:val="24"/>
        </w:rPr>
        <w:t>综上，已有研究在生成技术、偏差诊断、知识表征和人机协同上各有积累，但存在三个缺口：一是缺少默会文化规则的可计算表征；二是缺少细粒度、可解释、经文化持有者校验的文化一致性度量；三是缺少关于专家约束作用机理的受控实证。本项目即针对这三个缺口展开。</w:t>
      </w:r>
    </w:p>
    <w:p>
      <w:pPr>
        <w:spacing w:before="120" w:after="60"/>
      </w:pPr>
      <w:r>
        <w:rPr>
          <w:rFonts w:ascii="黑体" w:hAnsi="黑体" w:eastAsia="黑体"/>
          <w:b/>
          <w:sz w:val="26"/>
        </w:rPr>
        <w:t>（三）主要参考文献</w:t>
      </w:r>
    </w:p>
    <w:p>
      <w:pPr>
        <w:spacing w:line="288" w:lineRule="auto"/>
      </w:pPr>
      <w:r>
        <w:rPr>
          <w:rFonts w:ascii="宋体" w:hAnsi="宋体" w:eastAsia="宋体"/>
          <w:b w:val="0"/>
          <w:sz w:val="21"/>
        </w:rPr>
        <w:t>[1] 中共中央办公厅, 国务院办公厅. 关于进一步加强非物质文化遗产保护工作的意见[Z]. 2021.</w:t>
      </w:r>
    </w:p>
    <w:p>
      <w:pPr>
        <w:spacing w:line="288" w:lineRule="auto"/>
      </w:pPr>
      <w:r>
        <w:rPr>
          <w:rFonts w:ascii="宋体" w:hAnsi="宋体" w:eastAsia="宋体"/>
          <w:b w:val="0"/>
          <w:sz w:val="21"/>
        </w:rPr>
        <w:t>[2] 国务院. 关于深入实施“人工智能+”行动的意见: 国发〔2025〕11号[Z]. 2025.</w:t>
      </w:r>
    </w:p>
    <w:p>
      <w:pPr>
        <w:spacing w:line="288" w:lineRule="auto"/>
      </w:pPr>
      <w:r>
        <w:rPr>
          <w:rFonts w:ascii="宋体" w:hAnsi="宋体" w:eastAsia="宋体"/>
          <w:b w:val="0"/>
          <w:sz w:val="21"/>
        </w:rPr>
        <w:t>[3] ROMBACH R, BLATTMANN A, LORENZ D, et al. High-resolution image synthesis with latent diffusion models[C]//Proceedings of the IEEE/CVF Conference on Computer Vision and Pattern Recognition. 2022: 10684-10695.</w:t>
      </w:r>
    </w:p>
    <w:p>
      <w:pPr>
        <w:spacing w:line="288" w:lineRule="auto"/>
      </w:pPr>
      <w:r>
        <w:rPr>
          <w:rFonts w:ascii="宋体" w:hAnsi="宋体" w:eastAsia="宋体"/>
          <w:b w:val="0"/>
          <w:sz w:val="21"/>
        </w:rPr>
        <w:t>[4] 任玉洁, 鲁浩天, 刘驰. 基于SD模型的克拉克瓷纹样生成与修复研究[J]. 艺术设计研究, 2025(3): 5-13.</w:t>
      </w:r>
    </w:p>
    <w:p>
      <w:pPr>
        <w:spacing w:line="288" w:lineRule="auto"/>
      </w:pPr>
      <w:r>
        <w:rPr>
          <w:rFonts w:ascii="宋体" w:hAnsi="宋体" w:eastAsia="宋体"/>
          <w:b w:val="0"/>
          <w:sz w:val="21"/>
        </w:rPr>
        <w:t>[5] 殷波. 传统手工艺类非遗领域的人工智能应用现状与展望[J]. 中国非物质文化遗产, 2025(4): 39-47.</w:t>
      </w:r>
    </w:p>
    <w:p>
      <w:pPr>
        <w:spacing w:line="288" w:lineRule="auto"/>
      </w:pPr>
      <w:r>
        <w:rPr>
          <w:rFonts w:ascii="宋体" w:hAnsi="宋体" w:eastAsia="宋体"/>
          <w:b w:val="0"/>
          <w:sz w:val="21"/>
        </w:rPr>
        <w:t>[6] STINY G, GIPS J. Shape grammars and the generative specification of painting and sculpture[C]//Information Processing 71: Proceedings of IFIP Congress 71. Amsterdam: North-Holland, 1972: 1460-1465.</w:t>
      </w:r>
    </w:p>
    <w:p>
      <w:pPr>
        <w:spacing w:line="288" w:lineRule="auto"/>
      </w:pPr>
      <w:r>
        <w:rPr>
          <w:rFonts w:ascii="宋体" w:hAnsi="宋体" w:eastAsia="宋体"/>
          <w:b w:val="0"/>
          <w:sz w:val="21"/>
        </w:rPr>
        <w:t>[7] POLANYI M. The tacit dimension[M]. Chicago: University of Chicago Press, 1966.</w:t>
      </w:r>
    </w:p>
    <w:p>
      <w:pPr>
        <w:spacing w:line="288" w:lineRule="auto"/>
      </w:pPr>
      <w:r>
        <w:rPr>
          <w:rFonts w:ascii="宋体" w:hAnsi="宋体" w:eastAsia="宋体"/>
          <w:b w:val="0"/>
          <w:sz w:val="21"/>
        </w:rPr>
        <w:t>[8] BIANCHI F, KALLURI P, DURMUS E, et al. Easily accessible text-to-image generation amplifies demographic stereotypes at large scale[C]//Proceedings of the 2023 ACM Conference on Fairness, Accountability, and Transparency. 2023: 1493-1504.</w:t>
      </w:r>
    </w:p>
    <w:p>
      <w:pPr>
        <w:spacing w:line="288" w:lineRule="auto"/>
      </w:pPr>
      <w:r>
        <w:rPr>
          <w:rFonts w:ascii="宋体" w:hAnsi="宋体" w:eastAsia="宋体"/>
          <w:b w:val="0"/>
          <w:sz w:val="21"/>
        </w:rPr>
        <w:t>[9] QADRI R, SHELBY R, BENNETT C L, et al. AI’s regimes of representation: a community-centered study of text-to-image models in South Asia[C]//Proceedings of the 2023 ACM Conference on Fairness, Accountability, and Transparency. 2023: 506-517.</w:t>
      </w:r>
    </w:p>
    <w:p>
      <w:pPr>
        <w:spacing w:line="288" w:lineRule="auto"/>
      </w:pPr>
      <w:r>
        <w:rPr>
          <w:rFonts w:ascii="宋体" w:hAnsi="宋体" w:eastAsia="宋体"/>
          <w:b w:val="0"/>
          <w:sz w:val="21"/>
        </w:rPr>
        <w:t>[10] 孙绍勇, 肖健勋. 生成式人工智能介入文化主体性建设的价值指涉、潜在风险及推进路径[J]. 西安交通大学学报(社会科学版), 2025(6): 100-109.</w:t>
      </w:r>
    </w:p>
    <w:p>
      <w:pPr>
        <w:spacing w:line="288" w:lineRule="auto"/>
      </w:pPr>
      <w:r>
        <w:rPr>
          <w:rFonts w:ascii="宋体" w:hAnsi="宋体" w:eastAsia="宋体"/>
          <w:b w:val="0"/>
          <w:sz w:val="21"/>
        </w:rPr>
        <w:t>[11] 易玲. 人工智能驱动文化遗产生成性利用的法律规制[J]. 学习与实践, 2026(8): 46-55.</w:t>
      </w:r>
    </w:p>
    <w:p>
      <w:pPr>
        <w:spacing w:line="288" w:lineRule="auto"/>
      </w:pPr>
      <w:r>
        <w:rPr>
          <w:rFonts w:ascii="宋体" w:hAnsi="宋体" w:eastAsia="宋体"/>
          <w:b w:val="0"/>
          <w:sz w:val="21"/>
        </w:rPr>
        <w:t>[12] 刘遹菡, 张睿丽, 胡桉澍, 等. AIGC技术可供性与文化约束性的人智平衡研究——基于藏族邦典绘本的生成实践[J]. 出版发行研究, 2026(6): 38-43, 13.</w:t>
      </w:r>
    </w:p>
    <w:p>
      <w:pPr>
        <w:spacing w:line="288" w:lineRule="auto"/>
      </w:pPr>
      <w:r>
        <w:rPr>
          <w:rFonts w:ascii="宋体" w:hAnsi="宋体" w:eastAsia="宋体"/>
          <w:b w:val="0"/>
          <w:sz w:val="21"/>
        </w:rPr>
        <w:t>[19] 陈蕴韵, 徐姗禾, 黄雨甜. 智能时代非遗传承人数字活态传承的话语困境与破解路径[J]. 未来传播, 2026(4): 81-91.</w:t>
      </w:r>
    </w:p>
    <w:p>
      <w:pPr>
        <w:spacing w:line="288" w:lineRule="auto"/>
      </w:pPr>
      <w:r>
        <w:rPr>
          <w:rFonts w:ascii="宋体" w:hAnsi="宋体" w:eastAsia="宋体"/>
          <w:b w:val="0"/>
          <w:sz w:val="21"/>
        </w:rPr>
        <w:t>[20] SANDERS E B-N, STAPPERS P J. Co-creation and the new landscapes of design[J]. CoDesign, 2008, 4(1): 5-18.</w:t>
      </w:r>
    </w:p>
    <w:p>
      <w:pPr>
        <w:spacing w:line="288" w:lineRule="auto"/>
      </w:pPr>
      <w:r>
        <w:rPr>
          <w:rFonts w:ascii="宋体" w:hAnsi="宋体" w:eastAsia="宋体"/>
          <w:b w:val="0"/>
          <w:sz w:val="21"/>
        </w:rPr>
        <w:t>[22] UNESCO. Ethical principles for safeguarding intangible cultural heritage[Z]. Paris: UNESCO, 2015.</w:t>
      </w:r>
    </w:p>
    <w:p>
      <w:pPr>
        <w:spacing w:line="288" w:lineRule="auto"/>
      </w:pPr>
      <w:r>
        <w:rPr>
          <w:rFonts w:ascii="宋体" w:hAnsi="宋体" w:eastAsia="宋体"/>
          <w:b w:val="0"/>
          <w:sz w:val="21"/>
        </w:rPr>
        <w:t>[24] 施爱芹, 李妍欣. 人本、物境与在地: 非遗传承与创新设计的驱动主体及协同机制研究[J]. 民族艺术研究, 2025(1): 119-128.</w:t>
      </w:r>
    </w:p>
    <w:p>
      <w:pPr>
        <w:spacing w:line="288" w:lineRule="auto"/>
      </w:pPr>
      <w:r>
        <w:rPr>
          <w:rFonts w:ascii="宋体" w:hAnsi="宋体" w:eastAsia="宋体"/>
          <w:b w:val="0"/>
          <w:sz w:val="21"/>
        </w:rPr>
        <w:t>[25] 杨正文. 苗族服饰文化[M]. 贵阳: 贵州民族出版社, 1998.</w:t>
      </w:r>
    </w:p>
    <w:p>
      <w:pPr>
        <w:spacing w:line="288" w:lineRule="auto"/>
      </w:pPr>
      <w:r>
        <w:rPr>
          <w:rFonts w:ascii="宋体" w:hAnsi="宋体" w:eastAsia="宋体"/>
          <w:b w:val="0"/>
          <w:sz w:val="21"/>
        </w:rPr>
        <w:t>[26] 邓启耀. 灵的秘语——以苗族服饰中的蝴蝶纹样为中心[J]. 文艺研究, 2016(2): 129-140.</w:t>
      </w:r>
    </w:p>
    <w:p>
      <w:pPr>
        <w:spacing w:line="288" w:lineRule="auto"/>
      </w:pPr>
      <w:r>
        <w:rPr>
          <w:rFonts w:ascii="宋体" w:hAnsi="宋体" w:eastAsia="宋体"/>
          <w:b w:val="0"/>
          <w:sz w:val="21"/>
        </w:rPr>
        <w:t>[27] 周梦, 曹寒娟, 李炜彦. 贵州苗族服饰“母花”的界定与文化属性研究[J]. 装饰, 2023(3): 100-107.</w:t>
      </w:r>
    </w:p>
    <w:p>
      <w:pPr>
        <w:spacing w:line="288" w:lineRule="auto"/>
      </w:pPr>
      <w:r>
        <w:rPr>
          <w:rFonts w:ascii="宋体" w:hAnsi="宋体" w:eastAsia="宋体"/>
          <w:b w:val="0"/>
          <w:sz w:val="21"/>
        </w:rPr>
        <w:t>[28] 谭晓宁. 纹的秩序与人的秩序——贵州施洞苗族母花本纹样造型文化研究[J]. 南京艺术学院学报(美术与设计版), 2020(3): 133-138.</w:t>
      </w:r>
    </w:p>
    <w:p>
      <w:pPr>
        <w:spacing w:line="288" w:lineRule="auto"/>
      </w:pPr>
      <w:r>
        <w:rPr>
          <w:rFonts w:ascii="宋体" w:hAnsi="宋体" w:eastAsia="宋体"/>
          <w:b w:val="0"/>
          <w:sz w:val="21"/>
        </w:rPr>
        <w:t>[29] 翟之嘉, 邹游. 舟溪苗族背带及其织锦的特征及变迁研究[J]. 艺术设计研究, 2025(6): 61-69.</w:t>
      </w:r>
    </w:p>
    <w:p>
      <w:pPr>
        <w:spacing w:line="288" w:lineRule="auto"/>
      </w:pPr>
      <w:r>
        <w:rPr>
          <w:rFonts w:ascii="宋体" w:hAnsi="宋体" w:eastAsia="宋体"/>
          <w:b w:val="0"/>
          <w:sz w:val="21"/>
        </w:rPr>
        <w:t>[30] 国家互联网信息办公室, 工业和信息化部, 公安部, 等. 人工智能生成合成内容标识办法[Z]. 2025.</w:t>
      </w:r>
    </w:p>
    <w:p>
      <w:pPr>
        <w:spacing w:line="288" w:lineRule="auto"/>
      </w:pPr>
      <w:r>
        <w:rPr>
          <w:rFonts w:ascii="宋体" w:hAnsi="宋体" w:eastAsia="宋体"/>
          <w:b w:val="0"/>
          <w:sz w:val="21"/>
        </w:rPr>
        <w:t>[31] STRAUSS A, CORBIN J. Basics of qualitative research: techniques and procedures for developing grounded theory[M]. 2nd ed. Thousand Oaks: Sage, 1998.</w:t>
      </w:r>
    </w:p>
    <w:p>
      <w:pPr>
        <w:spacing w:line="288" w:lineRule="auto"/>
      </w:pPr>
      <w:r>
        <w:rPr>
          <w:rFonts w:ascii="宋体" w:hAnsi="宋体" w:eastAsia="宋体"/>
          <w:b w:val="0"/>
          <w:sz w:val="21"/>
        </w:rPr>
        <w:t>[32] LINSTONE H A, TUROFF M. The Delphi method: techniques and applications[M]. Reading: Addison-Wesley, 1975.</w:t>
      </w:r>
    </w:p>
    <w:p>
      <w:pPr>
        <w:spacing w:line="288" w:lineRule="auto"/>
      </w:pPr>
      <w:r>
        <w:rPr>
          <w:rFonts w:ascii="宋体" w:hAnsi="宋体" w:eastAsia="宋体"/>
          <w:b w:val="0"/>
          <w:sz w:val="21"/>
        </w:rPr>
        <w:t>[33] ZHANG L, RAO A, AGRAWALA M. Adding conditional control to text-to-image diffusion models[C]//Proceedings of the IEEE/CVF International Conference on Computer Vision. 2023: 3836-3847.</w:t>
      </w:r>
    </w:p>
    <w:p>
      <w:pPr>
        <w:spacing w:line="288" w:lineRule="auto"/>
      </w:pPr>
      <w:r>
        <w:rPr>
          <w:rFonts w:ascii="宋体" w:hAnsi="宋体" w:eastAsia="宋体"/>
          <w:b w:val="0"/>
          <w:sz w:val="21"/>
        </w:rPr>
        <w:t>[34] HU E J, SHEN Y, WALLIS P, et al. LoRA: low-rank adaptation of large language models[C]//International Conference on Learning Representations. 2022.</w:t>
      </w:r>
    </w:p>
    <w:p>
      <w:pPr>
        <w:spacing w:line="288" w:lineRule="auto"/>
      </w:pPr>
      <w:r>
        <w:rPr>
          <w:rFonts w:ascii="宋体" w:hAnsi="宋体" w:eastAsia="宋体"/>
          <w:b w:val="0"/>
          <w:sz w:val="21"/>
        </w:rPr>
        <w:t>[35] BASU A, BABU R V, PRUTHI D. Inspecting the geographical representativeness of images from text-to-image models[C]//Proceedings of the IEEE/CVF International Conference on Computer Vision. 2023: 5136-5147.</w:t>
      </w:r>
    </w:p>
    <w:p>
      <w:pPr>
        <w:spacing w:line="288" w:lineRule="auto"/>
      </w:pPr>
      <w:r>
        <w:rPr>
          <w:rFonts w:ascii="宋体" w:hAnsi="宋体" w:eastAsia="宋体"/>
          <w:b w:val="0"/>
          <w:sz w:val="21"/>
        </w:rPr>
        <w:t>[36] HOGAN A, BLOMQVIST E, COCHEZ M, et al. Knowledge graphs[J]. ACM Computing Surveys, 2021, 54(4): 1-37.</w:t>
      </w:r>
    </w:p>
    <w:p>
      <w:pPr>
        <w:spacing w:line="288" w:lineRule="auto"/>
      </w:pPr>
      <w:r>
        <w:rPr>
          <w:rFonts w:ascii="宋体" w:hAnsi="宋体" w:eastAsia="宋体"/>
          <w:b w:val="0"/>
          <w:sz w:val="21"/>
        </w:rPr>
        <w:t>[37] RADFORD A, KIM J W, HALLACY C, et al. Learning transferable visual models from natural language supervision[C]//International Conference on Machine Learning. 2021: 8748-8763.</w:t>
      </w:r>
    </w:p>
    <w:p>
      <w:pPr>
        <w:spacing w:line="288" w:lineRule="auto"/>
      </w:pPr>
      <w:r>
        <w:rPr>
          <w:rFonts w:ascii="宋体" w:hAnsi="宋体" w:eastAsia="宋体"/>
          <w:b w:val="0"/>
          <w:sz w:val="21"/>
        </w:rPr>
        <w:t>[38] KIRILLOV A, MINTUN E, RAVI N, et al. Segment anything[C]//Proceedings of the IEEE/CVF International Conference on Computer Vision. 2023: 4015-4026.</w:t>
      </w:r>
    </w:p>
    <w:p>
      <w:pPr>
        <w:spacing w:line="288" w:lineRule="auto"/>
      </w:pPr>
      <w:r>
        <w:rPr>
          <w:rFonts w:ascii="宋体" w:hAnsi="宋体" w:eastAsia="宋体"/>
          <w:b w:val="0"/>
          <w:sz w:val="21"/>
        </w:rPr>
        <w:t>[39] AMERSHI S, WELD D, VORVOREANU M, et al. Guidelines for human-AI interaction[C]//Proceedings of the 2019 CHI Conference on Human Factors in Computing Systems. 2019: 1-13.</w:t>
      </w:r>
    </w:p>
    <w:p>
      <w:pPr>
        <w:spacing w:line="288" w:lineRule="auto"/>
      </w:pPr>
      <w:r>
        <w:rPr>
          <w:rFonts w:ascii="宋体" w:hAnsi="宋体" w:eastAsia="宋体"/>
          <w:b w:val="0"/>
          <w:sz w:val="21"/>
        </w:rPr>
        <w:t>[40] OUYANG L, WU J, JIANG X, et al. Training language models to follow instructions with human feedback[C]//Advances in Neural Information Processing Systems. 2022, 35: 27730-27744.</w:t>
      </w:r>
    </w:p>
    <w:p>
      <w:pPr>
        <w:spacing w:line="312" w:lineRule="auto"/>
      </w:pPr>
      <w:r>
        <w:rPr>
          <w:rFonts w:ascii="楷体" w:hAnsi="楷体" w:eastAsia="楷体"/>
          <w:b w:val="0"/>
          <w:color w:val="C00000"/>
          <w:sz w:val="21"/>
        </w:rPr>
        <w:t>【填写提示】参考文献沿用原稿编号以便核对，正式提交前请按正文出现顺序重新连续编号。新增的[33]—[40]为计算机领域文献，页码请逐条核对原文；原稿中的霍尔、格尔茨、费孝通、英戈尔德、野中郁次郎等人文理论文献已压缩删去，如篇幅允许可保留1—2条。</w:t>
      </w:r>
    </w:p>
    <w:p>
      <w:pPr>
        <w:spacing w:before="240" w:after="120"/>
      </w:pPr>
      <w:r>
        <w:rPr>
          <w:rFonts w:ascii="黑体" w:hAnsi="黑体" w:eastAsia="黑体"/>
          <w:b/>
          <w:sz w:val="30"/>
        </w:rPr>
        <w:t>二、研究目标、研究内容和拟解决的关键科学问题</w:t>
      </w:r>
    </w:p>
    <w:p>
      <w:pPr>
        <w:spacing w:before="120" w:after="60"/>
      </w:pPr>
      <w:r>
        <w:rPr>
          <w:rFonts w:ascii="黑体" w:hAnsi="黑体" w:eastAsia="黑体"/>
          <w:b/>
          <w:sz w:val="26"/>
        </w:rPr>
        <w:t>（一）研究目标</w:t>
      </w:r>
    </w:p>
    <w:p>
      <w:pPr>
        <w:spacing w:line="360" w:lineRule="auto" w:after="0"/>
        <w:ind w:firstLine="480"/>
      </w:pPr>
      <w:r>
        <w:rPr>
          <w:rFonts w:ascii="宋体" w:hAnsi="宋体" w:eastAsia="宋体"/>
          <w:b w:val="0"/>
          <w:sz w:val="24"/>
        </w:rPr>
        <w:t>总目标：揭示苗族背扇纹样文化规则的层级结构及其可计算表征方式，建立与传承人判断一致的文化一致性度量方法，阐明传承人知识约束在人机协同生成中的作用机理，为生成式人工智能在民族文化领域的可信应用提供理论与方法。</w:t>
      </w:r>
    </w:p>
    <w:p>
      <w:pPr>
        <w:spacing w:line="360" w:lineRule="auto" w:after="0"/>
        <w:ind w:firstLine="480"/>
      </w:pPr>
      <w:r>
        <w:rPr>
          <w:rFonts w:ascii="宋体" w:hAnsi="宋体" w:eastAsia="宋体"/>
          <w:b w:val="0"/>
          <w:sz w:val="24"/>
        </w:rPr>
        <w:t>目标1：构建带证据来源、分层可推理的背扇纹样文化规则知识图谱。</w:t>
      </w:r>
    </w:p>
    <w:p>
      <w:pPr>
        <w:spacing w:line="360" w:lineRule="auto" w:after="0"/>
        <w:ind w:firstLine="480"/>
      </w:pPr>
      <w:r>
        <w:rPr>
          <w:rFonts w:ascii="宋体" w:hAnsi="宋体" w:eastAsia="宋体"/>
          <w:b w:val="0"/>
          <w:sz w:val="24"/>
        </w:rPr>
        <w:t>目标2：建立可解释的文化一致性评估模型，其判别结果与传承人盲评达到较高一致性。</w:t>
      </w:r>
    </w:p>
    <w:p>
      <w:pPr>
        <w:spacing w:line="360" w:lineRule="auto" w:after="0"/>
        <w:ind w:firstLine="480"/>
      </w:pPr>
      <w:r>
        <w:rPr>
          <w:rFonts w:ascii="宋体" w:hAnsi="宋体" w:eastAsia="宋体"/>
          <w:b w:val="0"/>
          <w:sz w:val="24"/>
        </w:rPr>
        <w:t>目标3：提出分层规则约束引导生成方法，并通过对照实验揭示专家约束对违背率、创新性与效率的作用规律。</w:t>
      </w:r>
    </w:p>
    <w:p>
      <w:pPr>
        <w:spacing w:before="120" w:after="60"/>
      </w:pPr>
      <w:r>
        <w:rPr>
          <w:rFonts w:ascii="黑体" w:hAnsi="黑体" w:eastAsia="黑体"/>
          <w:b/>
          <w:sz w:val="26"/>
        </w:rPr>
        <w:t>（二）研究内容</w:t>
      </w:r>
    </w:p>
    <w:p>
      <w:pPr>
        <w:spacing w:line="360" w:lineRule="auto" w:after="0"/>
        <w:ind w:firstLine="480"/>
      </w:pPr>
      <w:r>
        <w:rPr>
          <w:rFonts w:ascii="宋体" w:hAnsi="宋体" w:eastAsia="宋体"/>
          <w:b/>
          <w:sz w:val="24"/>
        </w:rPr>
        <w:t>研究内容一：背扇纹样文化规则的获取与层级知识表征。</w:t>
      </w:r>
    </w:p>
    <w:p>
      <w:pPr>
        <w:spacing w:line="360" w:lineRule="auto" w:after="0"/>
        <w:ind w:firstLine="480"/>
      </w:pPr>
      <w:r>
        <w:rPr>
          <w:rFonts w:ascii="宋体" w:hAnsi="宋体" w:eastAsia="宋体"/>
          <w:b w:val="0"/>
          <w:sz w:val="24"/>
        </w:rPr>
        <w:t>（1）数据集构建。在课题组已有背扇实物与图像资料基础上，于黔东南州2—3个传承活跃的村寨与非遗工坊补充采集，形成不少于300件的背扇纹样图像库；对主纹、副纹、边饰、母题类别、配色组合与使用情境进行部件级与关系级标注，标注规范经传承人确认，双人独立标注并检验一致性。（2）规则诱发与收敛。以原样纹样为基准，每次只改动一个规则维度（主副纹次序、母题、配色、边饰、使用情境），制作不少于60组真伪刺激图，请15—20名传承人、绣娘作强制选择判断并出声说明理由；对判断记录作三级编码抽取规则，再经两轮德尔菲评议完成合并、分级与排序。（3）形式化表征。将规则表示为“实体—属性—关系—约束”的知识图谱：实体为纹样部件与母题，关系为空间布局与组合关系，约束按刚性分为禁用层（硬约束，不可生成、不公开）、守正层（强约束，有条件生成并须传承人审定）、开放层（弱约束，可自由创新），每条约束标注适用条件、证据来源与适用支系，未收敛的分歧条目保留并注明情境。</w:t>
      </w:r>
    </w:p>
    <w:p>
      <w:pPr>
        <w:spacing w:line="360" w:lineRule="auto" w:after="0"/>
        <w:ind w:firstLine="480"/>
      </w:pPr>
      <w:r>
        <w:rPr>
          <w:rFonts w:ascii="宋体" w:hAnsi="宋体" w:eastAsia="宋体"/>
          <w:b/>
          <w:sz w:val="24"/>
        </w:rPr>
        <w:t>研究内容二：文化一致性的可解释评估模型。</w:t>
      </w:r>
    </w:p>
    <w:p>
      <w:pPr>
        <w:spacing w:line="360" w:lineRule="auto" w:after="0"/>
        <w:ind w:firstLine="480"/>
      </w:pPr>
      <w:r>
        <w:rPr>
          <w:rFonts w:ascii="宋体" w:hAnsi="宋体" w:eastAsia="宋体"/>
          <w:b w:val="0"/>
          <w:sz w:val="24"/>
        </w:rPr>
        <w:t>构建“部件识别—结构解析—规则推理”三级评估框架：第一级在视觉基础模型上进行少样本微调，识别纹样部件与母题；第二级将识别结果解析为纹样布局图，刻画主副纹次序、对称关系与组合关系；第三级将布局图与知识图谱约束进行匹配推理，输出违背条目、所属层级与违背位置，形成可解释的“违背报告”。以传承人独立盲评为金标准，检验模型判别与专家判断的一致性，分析不同违背类型（构图错位、母题误用、禁忌违背、情境错置）的可检测性差异。</w:t>
      </w:r>
    </w:p>
    <w:p>
      <w:pPr>
        <w:spacing w:line="360" w:lineRule="auto" w:after="0"/>
        <w:ind w:firstLine="480"/>
      </w:pPr>
      <w:r>
        <w:rPr>
          <w:rFonts w:ascii="宋体" w:hAnsi="宋体" w:eastAsia="宋体"/>
          <w:b/>
          <w:sz w:val="24"/>
        </w:rPr>
        <w:t>研究内容三：分层规则约束引导的生成方法。</w:t>
      </w:r>
    </w:p>
    <w:p>
      <w:pPr>
        <w:spacing w:line="360" w:lineRule="auto" w:after="0"/>
        <w:ind w:firstLine="480"/>
      </w:pPr>
      <w:r>
        <w:rPr>
          <w:rFonts w:ascii="宋体" w:hAnsi="宋体" w:eastAsia="宋体"/>
          <w:b w:val="0"/>
          <w:sz w:val="24"/>
        </w:rPr>
        <w:t>在现有开源扩散模型基础上（不训练基础大模型），按约束层级设计不同的介入方式：禁用层在生成前通过提示与素材过滤加以排除，在生成后由评估模型拦截；守正层将主副纹布局转化为条件控制图，并将规则转写为结构化提示，在生成过程中施加软约束；开放层作为自由变量交由模型探索。比较“仅提示约束”“布局条件约束”“布局条件＋生成后拦截”等策略对违背率与多样性的影响。</w:t>
      </w:r>
    </w:p>
    <w:p>
      <w:pPr>
        <w:spacing w:line="360" w:lineRule="auto" w:after="0"/>
        <w:ind w:firstLine="480"/>
      </w:pPr>
      <w:r>
        <w:rPr>
          <w:rFonts w:ascii="宋体" w:hAnsi="宋体" w:eastAsia="宋体"/>
          <w:b/>
          <w:sz w:val="24"/>
        </w:rPr>
        <w:t>研究内容四：人机协同中专家约束的作用机理与实证检验。</w:t>
      </w:r>
    </w:p>
    <w:p>
      <w:pPr>
        <w:spacing w:line="360" w:lineRule="auto" w:after="0"/>
        <w:ind w:firstLine="480"/>
      </w:pPr>
      <w:r>
        <w:rPr>
          <w:rFonts w:ascii="宋体" w:hAnsi="宋体" w:eastAsia="宋体"/>
          <w:b w:val="0"/>
          <w:sz w:val="24"/>
        </w:rPr>
        <w:t>设计随机对照实验，设置三种条件：A组自由生成；B组规则约束生成（研究内容三的方法，无人工审定）；C组规则约束生成＋传承人审定。以统一设计任务书、同一模型版本完成文创图案设计，测量边界违背率、文化恰当性、创新性与设计效率（迭代次数、完成时长），刻画“违背率—创新性”的权衡关系；将传承人审定意见编码后回流修订知识图谱与评估模型，检验规则库迭代对后续生成的改进效果。</w:t>
      </w:r>
    </w:p>
    <w:p>
      <w:pPr>
        <w:spacing w:before="120" w:after="60"/>
      </w:pPr>
      <w:r>
        <w:rPr>
          <w:rFonts w:ascii="黑体" w:hAnsi="黑体" w:eastAsia="黑体"/>
          <w:b/>
          <w:sz w:val="26"/>
        </w:rPr>
        <w:t>（三）拟解决的关键科学问题</w:t>
      </w:r>
    </w:p>
    <w:p>
      <w:pPr>
        <w:spacing w:line="360" w:lineRule="auto" w:after="0"/>
        <w:ind w:firstLine="480"/>
      </w:pPr>
      <w:r>
        <w:rPr>
          <w:rFonts w:ascii="宋体" w:hAnsi="宋体" w:eastAsia="宋体"/>
          <w:b/>
          <w:sz w:val="24"/>
        </w:rPr>
        <w:t>关键科学问题1：默会文化规则的可计算表征问题。</w:t>
      </w:r>
    </w:p>
    <w:p>
      <w:pPr>
        <w:spacing w:line="360" w:lineRule="auto" w:after="0"/>
        <w:ind w:firstLine="480"/>
      </w:pPr>
      <w:r>
        <w:rPr>
          <w:rFonts w:ascii="宋体" w:hAnsi="宋体" w:eastAsia="宋体"/>
          <w:b w:val="0"/>
          <w:sz w:val="24"/>
        </w:rPr>
        <w:t>传承人对纹样恰当性的判断依赖语境、多以否定形式出现，且存在支系差异。如何从受控的判断数据中获取规则，并将其表征为分层、可推理、保留分歧的约束结构，是将文化知识引入计算流程的前提。</w:t>
      </w:r>
    </w:p>
    <w:p>
      <w:pPr>
        <w:spacing w:line="360" w:lineRule="auto" w:after="0"/>
        <w:ind w:firstLine="480"/>
      </w:pPr>
      <w:r>
        <w:rPr>
          <w:rFonts w:ascii="宋体" w:hAnsi="宋体" w:eastAsia="宋体"/>
          <w:b/>
          <w:sz w:val="24"/>
        </w:rPr>
        <w:t>关键科学问题2：文化一致性的可度量性问题。</w:t>
      </w:r>
    </w:p>
    <w:p>
      <w:pPr>
        <w:spacing w:line="360" w:lineRule="auto" w:after="0"/>
        <w:ind w:firstLine="480"/>
      </w:pPr>
      <w:r>
        <w:rPr>
          <w:rFonts w:ascii="宋体" w:hAnsi="宋体" w:eastAsia="宋体"/>
          <w:b w:val="0"/>
          <w:sz w:val="24"/>
        </w:rPr>
        <w:t>文化违背发生在部件、结构与语义多个层面，通用图像指标无法识别。如何建立细粒度、可解释、与文化持有者判断一致的度量方法，决定了生成结果能否被客观评价与约束。</w:t>
      </w:r>
    </w:p>
    <w:p>
      <w:pPr>
        <w:spacing w:line="360" w:lineRule="auto" w:after="0"/>
        <w:ind w:firstLine="480"/>
      </w:pPr>
      <w:r>
        <w:rPr>
          <w:rFonts w:ascii="宋体" w:hAnsi="宋体" w:eastAsia="宋体"/>
          <w:b/>
          <w:sz w:val="24"/>
        </w:rPr>
        <w:t>关键科学问题3：专家约束在人机协同生成中的作用机理问题。</w:t>
      </w:r>
    </w:p>
    <w:p>
      <w:pPr>
        <w:spacing w:line="360" w:lineRule="auto" w:after="0"/>
        <w:ind w:firstLine="480"/>
      </w:pPr>
      <w:r>
        <w:rPr>
          <w:rFonts w:ascii="宋体" w:hAnsi="宋体" w:eastAsia="宋体"/>
          <w:b w:val="0"/>
          <w:sz w:val="24"/>
        </w:rPr>
        <w:t>专家知识以自动约束还是人工审定的形式介入、在生成前还是生成后介入，对文化违背率与创新空间的影响不同。揭示这一作用规律及二者的权衡关系，是设计可信人机协同流程的科学依据。</w:t>
      </w:r>
    </w:p>
    <w:p>
      <w:pPr>
        <w:spacing w:before="240" w:after="120"/>
      </w:pPr>
      <w:r>
        <w:rPr>
          <w:rFonts w:ascii="黑体" w:hAnsi="黑体" w:eastAsia="黑体"/>
          <w:b/>
          <w:sz w:val="30"/>
        </w:rPr>
        <w:t>三、研究方案与可行性分析</w:t>
      </w:r>
    </w:p>
    <w:p>
      <w:pPr>
        <w:spacing w:before="120" w:after="60"/>
      </w:pPr>
      <w:r>
        <w:rPr>
          <w:rFonts w:ascii="黑体" w:hAnsi="黑体" w:eastAsia="黑体"/>
          <w:b/>
          <w:sz w:val="26"/>
        </w:rPr>
        <w:t>（一）研究方法与技术路线</w:t>
      </w:r>
    </w:p>
    <w:p>
      <w:pPr>
        <w:spacing w:line="360" w:lineRule="auto" w:after="0"/>
        <w:ind w:firstLine="480"/>
      </w:pPr>
      <w:r>
        <w:rPr>
          <w:rFonts w:ascii="宋体" w:hAnsi="宋体" w:eastAsia="宋体"/>
          <w:b w:val="0"/>
          <w:sz w:val="24"/>
        </w:rPr>
        <w:t>本项目遵循“规则获取—知识表征—一致性度量—约束生成—对照检验—迭代修订”的技术路线，各研究内容的输入输出关系如下表所示。</w:t>
      </w:r>
    </w:p>
    <w:tbl>
      <w:tblPr>
        <w:tblStyle w:val="TableGrid"/>
        <w:tblW w:type="auto" w:w="0"/>
        <w:tblLayout w:type="fixed"/>
        <w:tblLook w:firstColumn="1" w:firstRow="1" w:lastColumn="0" w:lastRow="0" w:noHBand="0" w:noVBand="1" w:val="04A0"/>
      </w:tblPr>
      <w:tblGrid>
        <w:gridCol w:w="1304"/>
        <w:gridCol w:w="3118"/>
        <w:gridCol w:w="2154"/>
        <w:gridCol w:w="2381"/>
      </w:tblGrid>
      <w:tr>
        <w:tc>
          <w:tcPr>
            <w:tcW w:type="dxa" w:w="1304"/>
          </w:tcPr>
          <w:p>
            <w:r/>
            <w:r>
              <w:rPr>
                <w:rFonts w:ascii="宋体" w:hAnsi="宋体" w:eastAsia="宋体"/>
                <w:b/>
                <w:sz w:val="21"/>
              </w:rPr>
              <w:t>阶段</w:t>
            </w:r>
          </w:p>
        </w:tc>
        <w:tc>
          <w:tcPr>
            <w:tcW w:type="dxa" w:w="3118"/>
          </w:tcPr>
          <w:p>
            <w:r/>
            <w:r>
              <w:rPr>
                <w:rFonts w:ascii="宋体" w:hAnsi="宋体" w:eastAsia="宋体"/>
                <w:b/>
                <w:sz w:val="21"/>
              </w:rPr>
              <w:t>主要方法</w:t>
            </w:r>
          </w:p>
        </w:tc>
        <w:tc>
          <w:tcPr>
            <w:tcW w:type="dxa" w:w="2154"/>
          </w:tcPr>
          <w:p>
            <w:r/>
            <w:r>
              <w:rPr>
                <w:rFonts w:ascii="宋体" w:hAnsi="宋体" w:eastAsia="宋体"/>
                <w:b/>
                <w:sz w:val="21"/>
              </w:rPr>
              <w:t>输入</w:t>
            </w:r>
          </w:p>
        </w:tc>
        <w:tc>
          <w:tcPr>
            <w:tcW w:type="dxa" w:w="2381"/>
          </w:tcPr>
          <w:p>
            <w:r/>
            <w:r>
              <w:rPr>
                <w:rFonts w:ascii="宋体" w:hAnsi="宋体" w:eastAsia="宋体"/>
                <w:b/>
                <w:sz w:val="21"/>
              </w:rPr>
              <w:t>输出</w:t>
            </w:r>
          </w:p>
        </w:tc>
      </w:tr>
      <w:tr>
        <w:tc>
          <w:tcPr>
            <w:tcW w:type="dxa" w:w="1304"/>
          </w:tcPr>
          <w:p>
            <w:r/>
            <w:r>
              <w:rPr>
                <w:rFonts w:ascii="宋体" w:hAnsi="宋体" w:eastAsia="宋体"/>
                <w:b w:val="0"/>
                <w:sz w:val="21"/>
              </w:rPr>
              <w:t>规则获取</w:t>
            </w:r>
          </w:p>
        </w:tc>
        <w:tc>
          <w:tcPr>
            <w:tcW w:type="dxa" w:w="3118"/>
          </w:tcPr>
          <w:p>
            <w:r/>
            <w:r>
              <w:rPr>
                <w:rFonts w:ascii="宋体" w:hAnsi="宋体" w:eastAsia="宋体"/>
                <w:b w:val="0"/>
                <w:sz w:val="21"/>
              </w:rPr>
              <w:t>田野调查、真伪刺激图强制选择、出声思维、三级编码、德尔菲法</w:t>
            </w:r>
          </w:p>
        </w:tc>
        <w:tc>
          <w:tcPr>
            <w:tcW w:type="dxa" w:w="2154"/>
          </w:tcPr>
          <w:p>
            <w:r/>
            <w:r>
              <w:rPr>
                <w:rFonts w:ascii="宋体" w:hAnsi="宋体" w:eastAsia="宋体"/>
                <w:b w:val="0"/>
                <w:sz w:val="21"/>
              </w:rPr>
              <w:t>纹样图像库、传承人判断</w:t>
            </w:r>
          </w:p>
        </w:tc>
        <w:tc>
          <w:tcPr>
            <w:tcW w:type="dxa" w:w="2381"/>
          </w:tcPr>
          <w:p>
            <w:r/>
            <w:r>
              <w:rPr>
                <w:rFonts w:ascii="宋体" w:hAnsi="宋体" w:eastAsia="宋体"/>
                <w:b w:val="0"/>
                <w:sz w:val="21"/>
              </w:rPr>
              <w:t>分层规则条目（含证据与分歧）</w:t>
            </w:r>
          </w:p>
        </w:tc>
      </w:tr>
      <w:tr>
        <w:tc>
          <w:tcPr>
            <w:tcW w:type="dxa" w:w="1304"/>
          </w:tcPr>
          <w:p>
            <w:r/>
            <w:r>
              <w:rPr>
                <w:rFonts w:ascii="宋体" w:hAnsi="宋体" w:eastAsia="宋体"/>
                <w:b w:val="0"/>
                <w:sz w:val="21"/>
              </w:rPr>
              <w:t>知识表征</w:t>
            </w:r>
          </w:p>
        </w:tc>
        <w:tc>
          <w:tcPr>
            <w:tcW w:type="dxa" w:w="3118"/>
          </w:tcPr>
          <w:p>
            <w:r/>
            <w:r>
              <w:rPr>
                <w:rFonts w:ascii="宋体" w:hAnsi="宋体" w:eastAsia="宋体"/>
                <w:b w:val="0"/>
                <w:sz w:val="21"/>
              </w:rPr>
              <w:t>知识图谱建模、约束形式化</w:t>
            </w:r>
          </w:p>
        </w:tc>
        <w:tc>
          <w:tcPr>
            <w:tcW w:type="dxa" w:w="2154"/>
          </w:tcPr>
          <w:p>
            <w:r/>
            <w:r>
              <w:rPr>
                <w:rFonts w:ascii="宋体" w:hAnsi="宋体" w:eastAsia="宋体"/>
                <w:b w:val="0"/>
                <w:sz w:val="21"/>
              </w:rPr>
              <w:t>规则条目、部件标注</w:t>
            </w:r>
          </w:p>
        </w:tc>
        <w:tc>
          <w:tcPr>
            <w:tcW w:type="dxa" w:w="2381"/>
          </w:tcPr>
          <w:p>
            <w:r/>
            <w:r>
              <w:rPr>
                <w:rFonts w:ascii="宋体" w:hAnsi="宋体" w:eastAsia="宋体"/>
                <w:b w:val="0"/>
                <w:sz w:val="21"/>
              </w:rPr>
              <w:t>三层文化规则知识图谱</w:t>
            </w:r>
          </w:p>
        </w:tc>
      </w:tr>
      <w:tr>
        <w:tc>
          <w:tcPr>
            <w:tcW w:type="dxa" w:w="1304"/>
          </w:tcPr>
          <w:p>
            <w:r/>
            <w:r>
              <w:rPr>
                <w:rFonts w:ascii="宋体" w:hAnsi="宋体" w:eastAsia="宋体"/>
                <w:b w:val="0"/>
                <w:sz w:val="21"/>
              </w:rPr>
              <w:t>一致性度量</w:t>
            </w:r>
          </w:p>
        </w:tc>
        <w:tc>
          <w:tcPr>
            <w:tcW w:type="dxa" w:w="3118"/>
          </w:tcPr>
          <w:p>
            <w:r/>
            <w:r>
              <w:rPr>
                <w:rFonts w:ascii="宋体" w:hAnsi="宋体" w:eastAsia="宋体"/>
                <w:b w:val="0"/>
                <w:sz w:val="21"/>
              </w:rPr>
              <w:t>视觉基础模型微调、布局图解析、规则推理</w:t>
            </w:r>
          </w:p>
        </w:tc>
        <w:tc>
          <w:tcPr>
            <w:tcW w:type="dxa" w:w="2154"/>
          </w:tcPr>
          <w:p>
            <w:r/>
            <w:r>
              <w:rPr>
                <w:rFonts w:ascii="宋体" w:hAnsi="宋体" w:eastAsia="宋体"/>
                <w:b w:val="0"/>
                <w:sz w:val="21"/>
              </w:rPr>
              <w:t>知识图谱、标注数据集</w:t>
            </w:r>
          </w:p>
        </w:tc>
        <w:tc>
          <w:tcPr>
            <w:tcW w:type="dxa" w:w="2381"/>
          </w:tcPr>
          <w:p>
            <w:r/>
            <w:r>
              <w:rPr>
                <w:rFonts w:ascii="宋体" w:hAnsi="宋体" w:eastAsia="宋体"/>
                <w:b w:val="0"/>
                <w:sz w:val="21"/>
              </w:rPr>
              <w:t>可解释评估模型与违背报告</w:t>
            </w:r>
          </w:p>
        </w:tc>
      </w:tr>
      <w:tr>
        <w:tc>
          <w:tcPr>
            <w:tcW w:type="dxa" w:w="1304"/>
          </w:tcPr>
          <w:p>
            <w:r/>
            <w:r>
              <w:rPr>
                <w:rFonts w:ascii="宋体" w:hAnsi="宋体" w:eastAsia="宋体"/>
                <w:b w:val="0"/>
                <w:sz w:val="21"/>
              </w:rPr>
              <w:t>约束生成</w:t>
            </w:r>
          </w:p>
        </w:tc>
        <w:tc>
          <w:tcPr>
            <w:tcW w:type="dxa" w:w="3118"/>
          </w:tcPr>
          <w:p>
            <w:r/>
            <w:r>
              <w:rPr>
                <w:rFonts w:ascii="宋体" w:hAnsi="宋体" w:eastAsia="宋体"/>
                <w:b w:val="0"/>
                <w:sz w:val="21"/>
              </w:rPr>
              <w:t>扩散模型、条件控制、结构化提示、生成后拦截</w:t>
            </w:r>
          </w:p>
        </w:tc>
        <w:tc>
          <w:tcPr>
            <w:tcW w:type="dxa" w:w="2154"/>
          </w:tcPr>
          <w:p>
            <w:r/>
            <w:r>
              <w:rPr>
                <w:rFonts w:ascii="宋体" w:hAnsi="宋体" w:eastAsia="宋体"/>
                <w:b w:val="0"/>
                <w:sz w:val="21"/>
              </w:rPr>
              <w:t>知识图谱、评估模型</w:t>
            </w:r>
          </w:p>
        </w:tc>
        <w:tc>
          <w:tcPr>
            <w:tcW w:type="dxa" w:w="2381"/>
          </w:tcPr>
          <w:p>
            <w:r/>
            <w:r>
              <w:rPr>
                <w:rFonts w:ascii="宋体" w:hAnsi="宋体" w:eastAsia="宋体"/>
                <w:b w:val="0"/>
                <w:sz w:val="21"/>
              </w:rPr>
              <w:t>分层约束引导生成方法</w:t>
            </w:r>
          </w:p>
        </w:tc>
      </w:tr>
      <w:tr>
        <w:tc>
          <w:tcPr>
            <w:tcW w:type="dxa" w:w="1304"/>
          </w:tcPr>
          <w:p>
            <w:r/>
            <w:r>
              <w:rPr>
                <w:rFonts w:ascii="宋体" w:hAnsi="宋体" w:eastAsia="宋体"/>
                <w:b w:val="0"/>
                <w:sz w:val="21"/>
              </w:rPr>
              <w:t>对照检验</w:t>
            </w:r>
          </w:p>
        </w:tc>
        <w:tc>
          <w:tcPr>
            <w:tcW w:type="dxa" w:w="3118"/>
          </w:tcPr>
          <w:p>
            <w:r/>
            <w:r>
              <w:rPr>
                <w:rFonts w:ascii="宋体" w:hAnsi="宋体" w:eastAsia="宋体"/>
                <w:b w:val="0"/>
                <w:sz w:val="21"/>
              </w:rPr>
              <w:t>随机对照实验、独立盲评、混合效应模型</w:t>
            </w:r>
          </w:p>
        </w:tc>
        <w:tc>
          <w:tcPr>
            <w:tcW w:type="dxa" w:w="2154"/>
          </w:tcPr>
          <w:p>
            <w:r/>
            <w:r>
              <w:rPr>
                <w:rFonts w:ascii="宋体" w:hAnsi="宋体" w:eastAsia="宋体"/>
                <w:b w:val="0"/>
                <w:sz w:val="21"/>
              </w:rPr>
              <w:t>三组设计方案</w:t>
            </w:r>
          </w:p>
        </w:tc>
        <w:tc>
          <w:tcPr>
            <w:tcW w:type="dxa" w:w="2381"/>
          </w:tcPr>
          <w:p>
            <w:r/>
            <w:r>
              <w:rPr>
                <w:rFonts w:ascii="宋体" w:hAnsi="宋体" w:eastAsia="宋体"/>
                <w:b w:val="0"/>
                <w:sz w:val="21"/>
              </w:rPr>
              <w:t>作用机理与权衡规律</w:t>
            </w:r>
          </w:p>
        </w:tc>
      </w:tr>
      <w:tr>
        <w:tc>
          <w:tcPr>
            <w:tcW w:type="dxa" w:w="1304"/>
          </w:tcPr>
          <w:p>
            <w:r/>
            <w:r>
              <w:rPr>
                <w:rFonts w:ascii="宋体" w:hAnsi="宋体" w:eastAsia="宋体"/>
                <w:b w:val="0"/>
                <w:sz w:val="21"/>
              </w:rPr>
              <w:t>迭代修订</w:t>
            </w:r>
          </w:p>
        </w:tc>
        <w:tc>
          <w:tcPr>
            <w:tcW w:type="dxa" w:w="3118"/>
          </w:tcPr>
          <w:p>
            <w:r/>
            <w:r>
              <w:rPr>
                <w:rFonts w:ascii="宋体" w:hAnsi="宋体" w:eastAsia="宋体"/>
                <w:b w:val="0"/>
                <w:sz w:val="21"/>
              </w:rPr>
              <w:t>审定意见编码、规则库更新</w:t>
            </w:r>
          </w:p>
        </w:tc>
        <w:tc>
          <w:tcPr>
            <w:tcW w:type="dxa" w:w="2154"/>
          </w:tcPr>
          <w:p>
            <w:r/>
            <w:r>
              <w:rPr>
                <w:rFonts w:ascii="宋体" w:hAnsi="宋体" w:eastAsia="宋体"/>
                <w:b w:val="0"/>
                <w:sz w:val="21"/>
              </w:rPr>
              <w:t>传承人审定意见</w:t>
            </w:r>
          </w:p>
        </w:tc>
        <w:tc>
          <w:tcPr>
            <w:tcW w:type="dxa" w:w="2381"/>
          </w:tcPr>
          <w:p>
            <w:r/>
            <w:r>
              <w:rPr>
                <w:rFonts w:ascii="宋体" w:hAnsi="宋体" w:eastAsia="宋体"/>
                <w:b w:val="0"/>
                <w:sz w:val="21"/>
              </w:rPr>
              <w:t>修订后的知识图谱与模型</w:t>
            </w:r>
          </w:p>
        </w:tc>
      </w:tr>
    </w:tbl>
    <w:p/>
    <w:p>
      <w:pPr>
        <w:spacing w:line="312" w:lineRule="auto"/>
      </w:pPr>
      <w:r>
        <w:rPr>
          <w:rFonts w:ascii="楷体" w:hAnsi="楷体" w:eastAsia="楷体"/>
          <w:b w:val="0"/>
          <w:color w:val="C00000"/>
          <w:sz w:val="21"/>
        </w:rPr>
        <w:t>【填写提示】建议据此表绘制一张技术路线图（可沿用原稿图5的版式，把节点替换为上表六个阶段）。</w:t>
      </w:r>
    </w:p>
    <w:p>
      <w:pPr>
        <w:spacing w:before="120" w:after="60"/>
      </w:pPr>
      <w:r>
        <w:rPr>
          <w:rFonts w:ascii="黑体" w:hAnsi="黑体" w:eastAsia="黑体"/>
          <w:b/>
          <w:sz w:val="26"/>
        </w:rPr>
        <w:t>（二）关键实验设计与统计方法</w:t>
      </w:r>
    </w:p>
    <w:p>
      <w:pPr>
        <w:spacing w:line="360" w:lineRule="auto" w:after="0"/>
        <w:ind w:firstLine="480"/>
      </w:pPr>
      <w:r>
        <w:rPr>
          <w:rFonts w:ascii="宋体" w:hAnsi="宋体" w:eastAsia="宋体"/>
          <w:b w:val="0"/>
          <w:sz w:val="24"/>
        </w:rPr>
        <w:t>1．规则获取的信度控制。访谈对象中传承人与绣娘不少于三分之二，采用目的抽样与滚雪球抽样，以信息饱和为止；双人独立编码，以Cohen’s Kappa检验一致性（目标不低于0.70）。德尔菲专家组10—12人，传承人不少于半数，以变异系数小于0.25且Kendall协调系数显著（P＜0.05）作为收敛标准。</w:t>
      </w:r>
    </w:p>
    <w:p>
      <w:pPr>
        <w:spacing w:line="360" w:lineRule="auto" w:after="0"/>
        <w:ind w:firstLine="480"/>
      </w:pPr>
      <w:r>
        <w:rPr>
          <w:rFonts w:ascii="宋体" w:hAnsi="宋体" w:eastAsia="宋体"/>
          <w:b w:val="0"/>
          <w:sz w:val="24"/>
        </w:rPr>
        <w:t>2．评估模型的效度检验。按纹样件数划分训练集、验证集与测试集，避免同一纹样的变体跨集泄漏；以5—7名未参与标注的评议者（传承人不少于半数）独立盲评为金标准，报告违背检出的精确率、召回率、F1值，以及模型与专家判断的一致性（Cohen’s Kappa）；评议者之间的一致性以组内相关系数（ICC）检验。</w:t>
      </w:r>
    </w:p>
    <w:p>
      <w:pPr>
        <w:spacing w:line="360" w:lineRule="auto" w:after="0"/>
        <w:ind w:firstLine="480"/>
      </w:pPr>
      <w:r>
        <w:rPr>
          <w:rFonts w:ascii="宋体" w:hAnsi="宋体" w:eastAsia="宋体"/>
          <w:b w:val="0"/>
          <w:sz w:val="24"/>
        </w:rPr>
        <w:t>3．对照实验设计。参与者为设计者与设计专业学生，随机分配至A、B、C三组。按双侧α＝0.05、检验效能0.80估算，若假设违背率由40%降至20%，每组约需82幅方案，本项目设定每组不少于90幅。违背率采用广义线性混合模型（以参与者为随机效应）检验组间差异，文化恰当性与创新性评分（5级）采用Kruskal-Wallis检验及事后两两比较；以违背率与创新性评分绘制各组的权衡曲线，分析约束强度与创新空间的关系。</w:t>
      </w:r>
    </w:p>
    <w:p>
      <w:pPr>
        <w:spacing w:line="312" w:lineRule="auto"/>
      </w:pPr>
      <w:r>
        <w:rPr>
          <w:rFonts w:ascii="楷体" w:hAnsi="楷体" w:eastAsia="楷体"/>
          <w:b w:val="0"/>
          <w:color w:val="C00000"/>
          <w:sz w:val="21"/>
        </w:rPr>
        <w:t>【填写提示】40%和20%是用于样本量估算的假设值，不是已有数据；如课题组前期试生成有统计数据，建议替换为实测基线，说服力更强。</w:t>
      </w:r>
    </w:p>
    <w:p>
      <w:pPr>
        <w:spacing w:before="120" w:after="60"/>
      </w:pPr>
      <w:r>
        <w:rPr>
          <w:rFonts w:ascii="黑体" w:hAnsi="黑体" w:eastAsia="黑体"/>
          <w:b/>
          <w:sz w:val="26"/>
        </w:rPr>
        <w:t>（三）可行性分析</w:t>
      </w:r>
    </w:p>
    <w:p>
      <w:pPr>
        <w:spacing w:line="360" w:lineRule="auto" w:after="0"/>
        <w:ind w:firstLine="480"/>
      </w:pPr>
      <w:r>
        <w:rPr>
          <w:rFonts w:ascii="宋体" w:hAnsi="宋体" w:eastAsia="宋体"/>
          <w:b w:val="0"/>
          <w:sz w:val="24"/>
        </w:rPr>
        <w:t>1．研究基础可行。课题组已积累背扇实物与高清纹样图像、传承人访谈转录文本及真伪刺激图实验素材，形成包含强制、弹性、禁忌三类条目的规则手册初稿，并初步识别出若干高优先级否决规则，田野工作以补充和验证为主。</w:t>
      </w:r>
    </w:p>
    <w:p>
      <w:pPr>
        <w:spacing w:line="360" w:lineRule="auto" w:after="0"/>
        <w:ind w:firstLine="480"/>
      </w:pPr>
      <w:r>
        <w:rPr>
          <w:rFonts w:ascii="宋体" w:hAnsi="宋体" w:eastAsia="宋体"/>
          <w:b w:val="0"/>
          <w:sz w:val="24"/>
        </w:rPr>
        <w:t>2．技术路线可行。所用视觉基础模型、扩散模型与条件控制方法均为开源成熟方法，本项目在其上进行少样本微调与约束设计，不训练基础大模型，算力需求可由学校图形工作站满足；规则获取与统计检验方法均为成熟方法。</w:t>
      </w:r>
    </w:p>
    <w:p>
      <w:pPr>
        <w:spacing w:line="360" w:lineRule="auto" w:after="0"/>
        <w:ind w:firstLine="480"/>
      </w:pPr>
      <w:r>
        <w:rPr>
          <w:rFonts w:ascii="宋体" w:hAnsi="宋体" w:eastAsia="宋体"/>
          <w:b w:val="0"/>
          <w:sz w:val="24"/>
        </w:rPr>
        <w:t>3．团队与条件可行。申请人长期从事非遗数字化与人机协同设计研究，具有多模态实验与统计检验经验；所在学院为大数据工程学院，具备模型训练与数据处理条件；学校地处黔东南，与州内传承人、绣娘及非遗工坊保持长期联系。</w:t>
      </w:r>
    </w:p>
    <w:p>
      <w:pPr>
        <w:spacing w:line="360" w:lineRule="auto" w:after="0"/>
        <w:ind w:firstLine="480"/>
      </w:pPr>
      <w:r>
        <w:rPr>
          <w:rFonts w:ascii="宋体" w:hAnsi="宋体" w:eastAsia="宋体"/>
          <w:b w:val="0"/>
          <w:sz w:val="24"/>
        </w:rPr>
        <w:t>4．主要风险与应对。（1）规则存在支系差异、难以收敛：保留分歧条目并标注适用情境，不强行统一；（2）部件识别样本不足：采用少样本微调与数据增强，必要时以人工标注的布局图直接进入规则推理，保证机理研究不受识别精度制约；（3）生成模型版本更新：实验期间固定模型版本并记录全部参数，保证可复现。</w:t>
      </w:r>
    </w:p>
    <w:p>
      <w:pPr>
        <w:spacing w:before="120" w:after="60"/>
      </w:pPr>
      <w:r>
        <w:rPr>
          <w:rFonts w:ascii="黑体" w:hAnsi="黑体" w:eastAsia="黑体"/>
          <w:b/>
          <w:sz w:val="26"/>
        </w:rPr>
        <w:t>（四）科技伦理与权益保障</w:t>
      </w:r>
    </w:p>
    <w:p>
      <w:pPr>
        <w:spacing w:line="360" w:lineRule="auto" w:after="0"/>
        <w:ind w:firstLine="480"/>
      </w:pPr>
      <w:r>
        <w:rPr>
          <w:rFonts w:ascii="宋体" w:hAnsi="宋体" w:eastAsia="宋体"/>
          <w:b w:val="0"/>
          <w:sz w:val="24"/>
        </w:rPr>
        <w:t>本项目涉及人类参与者（访谈、评议、对照实验）及人工智能生成，将按《科技伦理审查办法（试行）》提交凯里学院科技伦理审查委员会审查，取得批准后实施。所有参与者签署知情同意书，明确研究目的、材料用途、署名与撤回方式；仪式性、家族性及具有明确禁忌属性的纹样不纳入生成与公开；数据集按公开性分级管理；传承人参与审定的方案以传承人署名，并支付劳务报酬、反馈研究成果；生成内容按《人工智能生成合成内容标识办法》[30]进行标识，仅用于研究与教学，未经授权不作商业用途。</w:t>
      </w:r>
    </w:p>
    <w:p>
      <w:pPr>
        <w:spacing w:line="312" w:lineRule="auto"/>
      </w:pPr>
      <w:r>
        <w:rPr>
          <w:rFonts w:ascii="楷体" w:hAnsi="楷体" w:eastAsia="楷体"/>
          <w:b w:val="0"/>
          <w:color w:val="C00000"/>
          <w:sz w:val="21"/>
        </w:rPr>
        <w:t>【填写提示】通知第五条要求涉及人体、人工智能的项目须上传伦理审查批准材料。请尽快向学校科研处确认伦理委员会的审查流程与出具时间，这是形式审查的必备件。</w:t>
      </w:r>
    </w:p>
    <w:p>
      <w:pPr>
        <w:spacing w:before="240" w:after="120"/>
      </w:pPr>
      <w:r>
        <w:rPr>
          <w:rFonts w:ascii="黑体" w:hAnsi="黑体" w:eastAsia="黑体"/>
          <w:b/>
          <w:sz w:val="30"/>
        </w:rPr>
        <w:t>四、本项目的特色与创新之处</w:t>
      </w:r>
    </w:p>
    <w:p>
      <w:pPr>
        <w:spacing w:line="360" w:lineRule="auto" w:after="0"/>
        <w:ind w:firstLine="480"/>
      </w:pPr>
      <w:r>
        <w:rPr>
          <w:rFonts w:ascii="宋体" w:hAnsi="宋体" w:eastAsia="宋体"/>
          <w:b/>
          <w:sz w:val="24"/>
        </w:rPr>
        <w:t>1．研究对象上，将“文化一致性”作为生成式人工智能的可计算目标。</w:t>
      </w:r>
    </w:p>
    <w:p>
      <w:pPr>
        <w:spacing w:line="360" w:lineRule="auto" w:after="0"/>
        <w:ind w:firstLine="480"/>
      </w:pPr>
      <w:r>
        <w:rPr>
          <w:rFonts w:ascii="宋体" w:hAnsi="宋体" w:eastAsia="宋体"/>
          <w:b w:val="0"/>
          <w:sz w:val="24"/>
        </w:rPr>
        <w:t>区别于以视觉相似为目标的纹样生成研究，本项目把文化恰当性分解为禁用、守正、开放三层可推理约束，使“哪些不能改”成为可以表征、度量和检验的对象，为可信人工智能提供文化维度的评价方法。</w:t>
      </w:r>
    </w:p>
    <w:p>
      <w:pPr>
        <w:spacing w:line="360" w:lineRule="auto" w:after="0"/>
        <w:ind w:firstLine="480"/>
      </w:pPr>
      <w:r>
        <w:rPr>
          <w:rFonts w:ascii="宋体" w:hAnsi="宋体" w:eastAsia="宋体"/>
          <w:b/>
          <w:sz w:val="24"/>
        </w:rPr>
        <w:t>2．研究方法上，以“受控诱发＋层级表征”获取默会文化规则。</w:t>
      </w:r>
    </w:p>
    <w:p>
      <w:pPr>
        <w:spacing w:line="360" w:lineRule="auto" w:after="0"/>
        <w:ind w:firstLine="480"/>
      </w:pPr>
      <w:r>
        <w:rPr>
          <w:rFonts w:ascii="宋体" w:hAnsi="宋体" w:eastAsia="宋体"/>
          <w:b w:val="0"/>
          <w:sz w:val="24"/>
        </w:rPr>
        <w:t>区别于依赖开放式访谈的非遗规则研究，本项目以单维度改动的真伪刺激图诱发传承人判断，并将结果表征为带证据来源、保留分歧的分层知识图谱，打通从默会知识到可计算约束的路径。</w:t>
      </w:r>
    </w:p>
    <w:p>
      <w:pPr>
        <w:spacing w:line="360" w:lineRule="auto" w:after="0"/>
        <w:ind w:firstLine="480"/>
      </w:pPr>
      <w:r>
        <w:rPr>
          <w:rFonts w:ascii="宋体" w:hAnsi="宋体" w:eastAsia="宋体"/>
          <w:b/>
          <w:sz w:val="24"/>
        </w:rPr>
        <w:t>3．研究视角上，以对照实验揭示专家约束在人机协同中的作用机理。</w:t>
      </w:r>
    </w:p>
    <w:p>
      <w:pPr>
        <w:spacing w:line="360" w:lineRule="auto" w:after="0"/>
        <w:ind w:firstLine="480"/>
      </w:pPr>
      <w:r>
        <w:rPr>
          <w:rFonts w:ascii="宋体" w:hAnsi="宋体" w:eastAsia="宋体"/>
          <w:b w:val="0"/>
          <w:sz w:val="24"/>
        </w:rPr>
        <w:t>区别于提出原则或流程的人机协同研究，本项目通过随机对照实验比较自动约束与人工审定的作用，刻画文化违背率与创新性之间的权衡规律，为专家知识“何时介入、以何种形式介入”提供实证依据。</w:t>
      </w:r>
    </w:p>
    <w:p>
      <w:pPr>
        <w:spacing w:before="240" w:after="120"/>
      </w:pPr>
      <w:r>
        <w:rPr>
          <w:rFonts w:ascii="黑体" w:hAnsi="黑体" w:eastAsia="黑体"/>
          <w:b/>
          <w:sz w:val="30"/>
        </w:rPr>
        <w:t>五、年度研究计划及预期研究结果</w:t>
      </w:r>
    </w:p>
    <w:p>
      <w:pPr>
        <w:spacing w:before="120" w:after="60"/>
      </w:pPr>
      <w:r>
        <w:rPr>
          <w:rFonts w:ascii="黑体" w:hAnsi="黑体" w:eastAsia="黑体"/>
          <w:b/>
          <w:sz w:val="26"/>
        </w:rPr>
        <w:t>（一）年度研究计划</w:t>
      </w:r>
    </w:p>
    <w:tbl>
      <w:tblPr>
        <w:tblStyle w:val="TableGrid"/>
        <w:tblW w:type="auto" w:w="0"/>
        <w:tblLayout w:type="fixed"/>
        <w:tblLook w:firstColumn="1" w:firstRow="1" w:lastColumn="0" w:lastRow="0" w:noHBand="0" w:noVBand="1" w:val="04A0"/>
      </w:tblPr>
      <w:tblGrid>
        <w:gridCol w:w="1871"/>
        <w:gridCol w:w="4252"/>
        <w:gridCol w:w="2835"/>
      </w:tblGrid>
      <w:tr>
        <w:tc>
          <w:tcPr>
            <w:tcW w:type="dxa" w:w="1871"/>
          </w:tcPr>
          <w:p>
            <w:r/>
            <w:r>
              <w:rPr>
                <w:rFonts w:ascii="宋体" w:hAnsi="宋体" w:eastAsia="宋体"/>
                <w:b/>
                <w:sz w:val="21"/>
              </w:rPr>
              <w:t>时间</w:t>
            </w:r>
          </w:p>
        </w:tc>
        <w:tc>
          <w:tcPr>
            <w:tcW w:type="dxa" w:w="4252"/>
          </w:tcPr>
          <w:p>
            <w:r/>
            <w:r>
              <w:rPr>
                <w:rFonts w:ascii="宋体" w:hAnsi="宋体" w:eastAsia="宋体"/>
                <w:b/>
                <w:sz w:val="21"/>
              </w:rPr>
              <w:t>研究任务</w:t>
            </w:r>
          </w:p>
        </w:tc>
        <w:tc>
          <w:tcPr>
            <w:tcW w:type="dxa" w:w="2835"/>
          </w:tcPr>
          <w:p>
            <w:r/>
            <w:r>
              <w:rPr>
                <w:rFonts w:ascii="宋体" w:hAnsi="宋体" w:eastAsia="宋体"/>
                <w:b/>
                <w:sz w:val="21"/>
              </w:rPr>
              <w:t>阶段成果</w:t>
            </w:r>
          </w:p>
        </w:tc>
      </w:tr>
      <w:tr>
        <w:tc>
          <w:tcPr>
            <w:tcW w:type="dxa" w:w="1871"/>
          </w:tcPr>
          <w:p>
            <w:r/>
            <w:r>
              <w:rPr>
                <w:rFonts w:ascii="宋体" w:hAnsi="宋体" w:eastAsia="宋体"/>
                <w:b w:val="0"/>
                <w:sz w:val="21"/>
              </w:rPr>
              <w:t>2027.01—2027.06</w:t>
            </w:r>
          </w:p>
        </w:tc>
        <w:tc>
          <w:tcPr>
            <w:tcW w:type="dxa" w:w="4252"/>
          </w:tcPr>
          <w:p>
            <w:r/>
            <w:r>
              <w:rPr>
                <w:rFonts w:ascii="宋体" w:hAnsi="宋体" w:eastAsia="宋体"/>
                <w:b w:val="0"/>
                <w:sz w:val="21"/>
              </w:rPr>
              <w:t>补充田野采集与部件级标注；制作真伪刺激图并开展诱发判断；完成三级编码</w:t>
            </w:r>
          </w:p>
        </w:tc>
        <w:tc>
          <w:tcPr>
            <w:tcW w:type="dxa" w:w="2835"/>
          </w:tcPr>
          <w:p>
            <w:r/>
            <w:r>
              <w:rPr>
                <w:rFonts w:ascii="宋体" w:hAnsi="宋体" w:eastAsia="宋体"/>
                <w:b w:val="0"/>
                <w:sz w:val="21"/>
              </w:rPr>
              <w:t>背扇纹样数据集（第一版）；规则条目库</w:t>
            </w:r>
          </w:p>
        </w:tc>
      </w:tr>
      <w:tr>
        <w:tc>
          <w:tcPr>
            <w:tcW w:type="dxa" w:w="1871"/>
          </w:tcPr>
          <w:p>
            <w:r/>
            <w:r>
              <w:rPr>
                <w:rFonts w:ascii="宋体" w:hAnsi="宋体" w:eastAsia="宋体"/>
                <w:b w:val="0"/>
                <w:sz w:val="21"/>
              </w:rPr>
              <w:t>2027.07—2027.12</w:t>
            </w:r>
          </w:p>
        </w:tc>
        <w:tc>
          <w:tcPr>
            <w:tcW w:type="dxa" w:w="4252"/>
          </w:tcPr>
          <w:p>
            <w:r/>
            <w:r>
              <w:rPr>
                <w:rFonts w:ascii="宋体" w:hAnsi="宋体" w:eastAsia="宋体"/>
                <w:b w:val="0"/>
                <w:sz w:val="21"/>
              </w:rPr>
              <w:t>两轮德尔菲评议；构建三层文化规则知识图谱</w:t>
            </w:r>
          </w:p>
        </w:tc>
        <w:tc>
          <w:tcPr>
            <w:tcW w:type="dxa" w:w="2835"/>
          </w:tcPr>
          <w:p>
            <w:r/>
            <w:r>
              <w:rPr>
                <w:rFonts w:ascii="宋体" w:hAnsi="宋体" w:eastAsia="宋体"/>
                <w:b w:val="0"/>
                <w:sz w:val="21"/>
              </w:rPr>
              <w:t>文化规则知识图谱；论文1篇投稿</w:t>
            </w:r>
          </w:p>
        </w:tc>
      </w:tr>
      <w:tr>
        <w:tc>
          <w:tcPr>
            <w:tcW w:type="dxa" w:w="1871"/>
          </w:tcPr>
          <w:p>
            <w:r/>
            <w:r>
              <w:rPr>
                <w:rFonts w:ascii="宋体" w:hAnsi="宋体" w:eastAsia="宋体"/>
                <w:b w:val="0"/>
                <w:sz w:val="21"/>
              </w:rPr>
              <w:t>2028.01—2028.12</w:t>
            </w:r>
          </w:p>
        </w:tc>
        <w:tc>
          <w:tcPr>
            <w:tcW w:type="dxa" w:w="4252"/>
          </w:tcPr>
          <w:p>
            <w:r/>
            <w:r>
              <w:rPr>
                <w:rFonts w:ascii="宋体" w:hAnsi="宋体" w:eastAsia="宋体"/>
                <w:b w:val="0"/>
                <w:sz w:val="21"/>
              </w:rPr>
              <w:t>构建部件识别、布局解析与规则推理三级评估模型并检验效度；设计分层约束引导生成方法</w:t>
            </w:r>
          </w:p>
        </w:tc>
        <w:tc>
          <w:tcPr>
            <w:tcW w:type="dxa" w:w="2835"/>
          </w:tcPr>
          <w:p>
            <w:r/>
            <w:r>
              <w:rPr>
                <w:rFonts w:ascii="宋体" w:hAnsi="宋体" w:eastAsia="宋体"/>
                <w:b w:val="0"/>
                <w:sz w:val="21"/>
              </w:rPr>
              <w:t>文化一致性评估模型；软件著作权1项；论文1篇投稿</w:t>
            </w:r>
          </w:p>
        </w:tc>
      </w:tr>
      <w:tr>
        <w:tc>
          <w:tcPr>
            <w:tcW w:type="dxa" w:w="1871"/>
          </w:tcPr>
          <w:p>
            <w:r/>
            <w:r>
              <w:rPr>
                <w:rFonts w:ascii="宋体" w:hAnsi="宋体" w:eastAsia="宋体"/>
                <w:b w:val="0"/>
                <w:sz w:val="21"/>
              </w:rPr>
              <w:t>2029.01—2029.09</w:t>
            </w:r>
          </w:p>
        </w:tc>
        <w:tc>
          <w:tcPr>
            <w:tcW w:type="dxa" w:w="4252"/>
          </w:tcPr>
          <w:p>
            <w:r/>
            <w:r>
              <w:rPr>
                <w:rFonts w:ascii="宋体" w:hAnsi="宋体" w:eastAsia="宋体"/>
                <w:b w:val="0"/>
                <w:sz w:val="21"/>
              </w:rPr>
              <w:t>开展三组随机对照实验与独立盲评；统计分析与权衡曲线刻画；审定意见回流修订</w:t>
            </w:r>
          </w:p>
        </w:tc>
        <w:tc>
          <w:tcPr>
            <w:tcW w:type="dxa" w:w="2835"/>
          </w:tcPr>
          <w:p>
            <w:r/>
            <w:r>
              <w:rPr>
                <w:rFonts w:ascii="宋体" w:hAnsi="宋体" w:eastAsia="宋体"/>
                <w:b w:val="0"/>
                <w:sz w:val="21"/>
              </w:rPr>
              <w:t>对照实验数据与机理分析；修订版知识图谱与模型</w:t>
            </w:r>
          </w:p>
        </w:tc>
      </w:tr>
      <w:tr>
        <w:tc>
          <w:tcPr>
            <w:tcW w:type="dxa" w:w="1871"/>
          </w:tcPr>
          <w:p>
            <w:r/>
            <w:r>
              <w:rPr>
                <w:rFonts w:ascii="宋体" w:hAnsi="宋体" w:eastAsia="宋体"/>
                <w:b w:val="0"/>
                <w:sz w:val="21"/>
              </w:rPr>
              <w:t>2029.10—2029.12</w:t>
            </w:r>
          </w:p>
        </w:tc>
        <w:tc>
          <w:tcPr>
            <w:tcW w:type="dxa" w:w="4252"/>
          </w:tcPr>
          <w:p>
            <w:r/>
            <w:r>
              <w:rPr>
                <w:rFonts w:ascii="宋体" w:hAnsi="宋体" w:eastAsia="宋体"/>
                <w:b w:val="0"/>
                <w:sz w:val="21"/>
              </w:rPr>
              <w:t>总结研究成果，完成结题；申报国家自然科学基金</w:t>
            </w:r>
          </w:p>
        </w:tc>
        <w:tc>
          <w:tcPr>
            <w:tcW w:type="dxa" w:w="2835"/>
          </w:tcPr>
          <w:p>
            <w:r/>
            <w:r>
              <w:rPr>
                <w:rFonts w:ascii="宋体" w:hAnsi="宋体" w:eastAsia="宋体"/>
                <w:b w:val="0"/>
                <w:sz w:val="21"/>
              </w:rPr>
              <w:t>结题报告；国家自然科学基金申请书</w:t>
            </w:r>
          </w:p>
        </w:tc>
      </w:tr>
    </w:tbl>
    <w:p/>
    <w:p>
      <w:pPr>
        <w:spacing w:before="120" w:after="60"/>
      </w:pPr>
      <w:r>
        <w:rPr>
          <w:rFonts w:ascii="黑体" w:hAnsi="黑体" w:eastAsia="黑体"/>
          <w:b/>
          <w:sz w:val="26"/>
        </w:rPr>
        <w:t>（二）预期研究结果与考核指标</w:t>
      </w:r>
    </w:p>
    <w:tbl>
      <w:tblPr>
        <w:tblStyle w:val="TableGrid"/>
        <w:tblW w:type="auto" w:w="0"/>
        <w:tblLayout w:type="fixed"/>
        <w:tblLook w:firstColumn="1" w:firstRow="1" w:lastColumn="0" w:lastRow="0" w:noHBand="0" w:noVBand="1" w:val="04A0"/>
      </w:tblPr>
      <w:tblGrid>
        <w:gridCol w:w="1701"/>
        <w:gridCol w:w="7257"/>
      </w:tblGrid>
      <w:tr>
        <w:tc>
          <w:tcPr>
            <w:tcW w:type="dxa" w:w="1701"/>
          </w:tcPr>
          <w:p>
            <w:r/>
            <w:r>
              <w:rPr>
                <w:rFonts w:ascii="宋体" w:hAnsi="宋体" w:eastAsia="宋体"/>
                <w:b/>
                <w:sz w:val="21"/>
              </w:rPr>
              <w:t>类别</w:t>
            </w:r>
          </w:p>
        </w:tc>
        <w:tc>
          <w:tcPr>
            <w:tcW w:type="dxa" w:w="7257"/>
          </w:tcPr>
          <w:p>
            <w:r/>
            <w:r>
              <w:rPr>
                <w:rFonts w:ascii="宋体" w:hAnsi="宋体" w:eastAsia="宋体"/>
                <w:b/>
                <w:sz w:val="21"/>
              </w:rPr>
              <w:t>考核指标</w:t>
            </w:r>
          </w:p>
        </w:tc>
      </w:tr>
      <w:tr>
        <w:tc>
          <w:tcPr>
            <w:tcW w:type="dxa" w:w="1701"/>
          </w:tcPr>
          <w:p>
            <w:r/>
            <w:r>
              <w:rPr>
                <w:rFonts w:ascii="宋体" w:hAnsi="宋体" w:eastAsia="宋体"/>
                <w:b w:val="0"/>
                <w:sz w:val="21"/>
              </w:rPr>
              <w:t>论文</w:t>
            </w:r>
          </w:p>
        </w:tc>
        <w:tc>
          <w:tcPr>
            <w:tcW w:type="dxa" w:w="7257"/>
          </w:tcPr>
          <w:p>
            <w:r/>
            <w:r>
              <w:rPr>
                <w:rFonts w:ascii="宋体" w:hAnsi="宋体" w:eastAsia="宋体"/>
                <w:b w:val="0"/>
                <w:sz w:val="21"/>
              </w:rPr>
              <w:t>以第一作者或通讯作者身份发表标注本项目资助的较高学术水平论文2篇以上（其中SCI/SSCI/EI或CSSCI收录论文不少于1篇）</w:t>
            </w:r>
          </w:p>
        </w:tc>
      </w:tr>
      <w:tr>
        <w:tc>
          <w:tcPr>
            <w:tcW w:type="dxa" w:w="1701"/>
          </w:tcPr>
          <w:p>
            <w:r/>
            <w:r>
              <w:rPr>
                <w:rFonts w:ascii="宋体" w:hAnsi="宋体" w:eastAsia="宋体"/>
                <w:b w:val="0"/>
                <w:sz w:val="21"/>
              </w:rPr>
              <w:t>数据与模型</w:t>
            </w:r>
          </w:p>
        </w:tc>
        <w:tc>
          <w:tcPr>
            <w:tcW w:type="dxa" w:w="7257"/>
          </w:tcPr>
          <w:p>
            <w:r/>
            <w:r>
              <w:rPr>
                <w:rFonts w:ascii="宋体" w:hAnsi="宋体" w:eastAsia="宋体"/>
                <w:b w:val="0"/>
                <w:sz w:val="21"/>
              </w:rPr>
              <w:t>带规则标注的苗族背扇纹样数据集1套（不少于300件，按公开性分级管理）；三层文化规则知识图谱1套；文化一致性评估模型1个</w:t>
            </w:r>
          </w:p>
        </w:tc>
      </w:tr>
      <w:tr>
        <w:tc>
          <w:tcPr>
            <w:tcW w:type="dxa" w:w="1701"/>
          </w:tcPr>
          <w:p>
            <w:r/>
            <w:r>
              <w:rPr>
                <w:rFonts w:ascii="宋体" w:hAnsi="宋体" w:eastAsia="宋体"/>
                <w:b w:val="0"/>
                <w:sz w:val="21"/>
              </w:rPr>
              <w:t>知识产权</w:t>
            </w:r>
          </w:p>
        </w:tc>
        <w:tc>
          <w:tcPr>
            <w:tcW w:type="dxa" w:w="7257"/>
          </w:tcPr>
          <w:p>
            <w:r/>
            <w:r>
              <w:rPr>
                <w:rFonts w:ascii="宋体" w:hAnsi="宋体" w:eastAsia="宋体"/>
                <w:b w:val="0"/>
                <w:sz w:val="21"/>
              </w:rPr>
              <w:t>软件著作权1—2项</w:t>
            </w:r>
          </w:p>
        </w:tc>
      </w:tr>
      <w:tr>
        <w:tc>
          <w:tcPr>
            <w:tcW w:type="dxa" w:w="1701"/>
          </w:tcPr>
          <w:p>
            <w:r/>
            <w:r>
              <w:rPr>
                <w:rFonts w:ascii="宋体" w:hAnsi="宋体" w:eastAsia="宋体"/>
                <w:b w:val="0"/>
                <w:sz w:val="21"/>
              </w:rPr>
              <w:t>人才培养</w:t>
            </w:r>
          </w:p>
        </w:tc>
        <w:tc>
          <w:tcPr>
            <w:tcW w:type="dxa" w:w="7257"/>
          </w:tcPr>
          <w:p>
            <w:r/>
            <w:r>
              <w:rPr>
                <w:rFonts w:ascii="宋体" w:hAnsi="宋体" w:eastAsia="宋体"/>
                <w:b w:val="0"/>
                <w:sz w:val="21"/>
              </w:rPr>
              <w:t>培养本科生3—5名参与科研训练；指导学生参加学科竞赛或大学生创新创业训练项目1项</w:t>
            </w:r>
          </w:p>
        </w:tc>
      </w:tr>
      <w:tr>
        <w:tc>
          <w:tcPr>
            <w:tcW w:type="dxa" w:w="1701"/>
          </w:tcPr>
          <w:p>
            <w:r/>
            <w:r>
              <w:rPr>
                <w:rFonts w:ascii="宋体" w:hAnsi="宋体" w:eastAsia="宋体"/>
                <w:b w:val="0"/>
                <w:sz w:val="21"/>
              </w:rPr>
              <w:t>后续申报</w:t>
            </w:r>
          </w:p>
        </w:tc>
        <w:tc>
          <w:tcPr>
            <w:tcW w:type="dxa" w:w="7257"/>
          </w:tcPr>
          <w:p>
            <w:r/>
            <w:r>
              <w:rPr>
                <w:rFonts w:ascii="宋体" w:hAnsi="宋体" w:eastAsia="宋体"/>
                <w:b w:val="0"/>
                <w:sz w:val="21"/>
              </w:rPr>
              <w:t>以本项目成果为基础申报国家自然科学基金地区科学基金项目1次</w:t>
            </w:r>
          </w:p>
        </w:tc>
      </w:tr>
      <w:tr>
        <w:tc>
          <w:tcPr>
            <w:tcW w:type="dxa" w:w="1701"/>
          </w:tcPr>
          <w:p>
            <w:r/>
            <w:r>
              <w:rPr>
                <w:rFonts w:ascii="宋体" w:hAnsi="宋体" w:eastAsia="宋体"/>
                <w:b w:val="0"/>
                <w:sz w:val="21"/>
              </w:rPr>
              <w:t>社会效益</w:t>
            </w:r>
          </w:p>
        </w:tc>
        <w:tc>
          <w:tcPr>
            <w:tcW w:type="dxa" w:w="7257"/>
          </w:tcPr>
          <w:p>
            <w:r/>
            <w:r>
              <w:rPr>
                <w:rFonts w:ascii="宋体" w:hAnsi="宋体" w:eastAsia="宋体"/>
                <w:b w:val="0"/>
                <w:sz w:val="21"/>
              </w:rPr>
              <w:t>形成背扇纹样文化边界清单与人机协同设计指引，提供给合作非遗工坊、文创企业和传承人使用</w:t>
            </w:r>
          </w:p>
        </w:tc>
      </w:tr>
    </w:tbl>
    <w:p/>
    <w:p>
      <w:pPr>
        <w:spacing w:line="312" w:lineRule="auto"/>
      </w:pPr>
      <w:r>
        <w:rPr>
          <w:rFonts w:ascii="楷体" w:hAnsi="楷体" w:eastAsia="楷体"/>
          <w:b w:val="0"/>
          <w:color w:val="C00000"/>
          <w:sz w:val="21"/>
        </w:rPr>
        <w:t>【填写提示】指南的硬性要求是：主持人以第一或通讯作者身份发表标注基金的较高水平论文1篇以上。这里写2篇以上，留有余量；不建议写得太高，结题时要逐项考核。</w:t>
      </w:r>
    </w:p>
    <w:p>
      <w:pPr>
        <w:spacing w:before="240" w:after="120"/>
      </w:pPr>
      <w:r>
        <w:rPr>
          <w:rFonts w:ascii="黑体" w:hAnsi="黑体" w:eastAsia="黑体"/>
          <w:b/>
          <w:sz w:val="30"/>
        </w:rPr>
        <w:t>六、研究基础与工作条件</w:t>
      </w:r>
    </w:p>
    <w:p>
      <w:pPr>
        <w:spacing w:before="120" w:after="60"/>
      </w:pPr>
      <w:r>
        <w:rPr>
          <w:rFonts w:ascii="黑体" w:hAnsi="黑体" w:eastAsia="黑体"/>
          <w:b/>
          <w:sz w:val="26"/>
        </w:rPr>
        <w:t>（一）研究基础</w:t>
      </w:r>
    </w:p>
    <w:p>
      <w:pPr>
        <w:spacing w:line="360" w:lineRule="auto" w:after="0"/>
        <w:ind w:firstLine="480"/>
      </w:pPr>
      <w:r>
        <w:rPr>
          <w:rFonts w:ascii="宋体" w:hAnsi="宋体" w:eastAsia="宋体"/>
          <w:b w:val="0"/>
          <w:sz w:val="24"/>
        </w:rPr>
        <w:t>1．与本项目相关的前期工作。申请人在专著《技艺与算法：人·机·匠协同设计与非遗创新》中提出“人·机·匠”协同设计框架，并在《情感化设计驱动下的非遗产品人机协同创新路径研究——以苗族背扇为例》中以苗族背扇为对象讨论了人机协同创新路径；在Frontiers in Psychology发表的多模态实验研究积累了实验设计与统计检验经验，可直接用于本项目的对照实验与盲评设计。本项目是上述工作从“协同路径”走向“可计算表征与作用机理”的深化。</w:t>
      </w:r>
    </w:p>
    <w:p>
      <w:pPr>
        <w:spacing w:line="360" w:lineRule="auto" w:after="0"/>
        <w:ind w:firstLine="480"/>
      </w:pPr>
      <w:r>
        <w:rPr>
          <w:rFonts w:ascii="宋体" w:hAnsi="宋体" w:eastAsia="宋体"/>
          <w:b w:val="0"/>
          <w:sz w:val="24"/>
        </w:rPr>
        <w:t>2．资料基础。课题组已积累背扇实物与高清纹样图像、传承人访谈转录文本及真伪刺激图实验素材，形成规则手册初稿；前期试生成发现，仅靠样本投喂难以纠正构图次序与母题语义层面的偏离，在提示中加入规则描述后偏离有所减少但不稳定，为本项目提供了直接的问题来源。</w:t>
      </w:r>
    </w:p>
    <w:p>
      <w:pPr>
        <w:spacing w:before="120" w:after="60"/>
      </w:pPr>
      <w:r>
        <w:rPr>
          <w:rFonts w:ascii="黑体" w:hAnsi="黑体" w:eastAsia="黑体"/>
          <w:b/>
          <w:sz w:val="26"/>
        </w:rPr>
        <w:t>（二）工作条件</w:t>
      </w:r>
    </w:p>
    <w:p>
      <w:pPr>
        <w:spacing w:line="360" w:lineRule="auto" w:after="0"/>
        <w:ind w:firstLine="480"/>
      </w:pPr>
      <w:r>
        <w:rPr>
          <w:rFonts w:ascii="宋体" w:hAnsi="宋体" w:eastAsia="宋体"/>
          <w:b w:val="0"/>
          <w:sz w:val="24"/>
        </w:rPr>
        <w:t>申请人所在的凯里学院地处黔东南苗族侗族自治州，课题组与州内传承人、绣娘及非遗工坊保持长期联系；大数据工程学院具备图形工作站、图像采集设备及相关软件，可满足模型微调与数据处理需求；学校科研管理部门提供项目管理与经费服务。</w:t>
      </w:r>
    </w:p>
    <w:p>
      <w:pPr>
        <w:spacing w:before="120" w:after="60"/>
      </w:pPr>
      <w:r>
        <w:rPr>
          <w:rFonts w:ascii="黑体" w:hAnsi="黑体" w:eastAsia="黑体"/>
          <w:b/>
          <w:sz w:val="26"/>
        </w:rPr>
        <w:t>（三）申请人简介</w:t>
      </w:r>
    </w:p>
    <w:p>
      <w:pPr>
        <w:spacing w:line="360" w:lineRule="auto" w:after="0"/>
        <w:ind w:firstLine="480"/>
      </w:pPr>
      <w:r>
        <w:rPr>
          <w:rFonts w:ascii="宋体" w:hAnsi="宋体" w:eastAsia="宋体"/>
          <w:b w:val="0"/>
          <w:sz w:val="24"/>
        </w:rPr>
        <w:t>於厚荣，男，1990年4月生，讲师，硕士，凯里学院大数据工程学院教师，研究方向为非遗数字化与人机协同设计。</w:t>
      </w:r>
    </w:p>
    <w:p>
      <w:pPr>
        <w:spacing w:line="360" w:lineRule="auto" w:after="0"/>
        <w:ind w:firstLine="480"/>
      </w:pPr>
      <w:r>
        <w:rPr>
          <w:rFonts w:ascii="宋体" w:hAnsi="宋体" w:eastAsia="宋体"/>
          <w:b w:val="0"/>
          <w:sz w:val="24"/>
        </w:rPr>
        <w:t>主持项目：贵州省教育厅2021年普通高等学校青年科技人才成长项目“黔东南州旅游IP塑造研究开发”（2021.11—2024.11，已结题）。</w:t>
      </w:r>
    </w:p>
    <w:p>
      <w:pPr>
        <w:spacing w:line="360" w:lineRule="auto" w:after="0"/>
        <w:ind w:firstLine="480"/>
      </w:pPr>
      <w:r>
        <w:rPr>
          <w:rFonts w:ascii="宋体" w:hAnsi="宋体" w:eastAsia="宋体"/>
          <w:b w:val="0"/>
          <w:sz w:val="24"/>
        </w:rPr>
        <w:t>近三年代表性成果：</w:t>
      </w:r>
    </w:p>
    <w:p>
      <w:pPr>
        <w:spacing w:line="360" w:lineRule="auto" w:after="0"/>
      </w:pPr>
      <w:r>
        <w:rPr>
          <w:rFonts w:ascii="宋体" w:hAnsi="宋体" w:eastAsia="宋体"/>
          <w:b w:val="0"/>
          <w:sz w:val="24"/>
        </w:rPr>
        <w:t>（1）於厚荣. 技艺与算法：人·机·匠协同设计与非遗创新[M]. 南京：南京大学出版社，2026.（独著）</w:t>
      </w:r>
    </w:p>
    <w:p>
      <w:pPr>
        <w:spacing w:line="360" w:lineRule="auto" w:after="0"/>
      </w:pPr>
      <w:r>
        <w:rPr>
          <w:rFonts w:ascii="宋体" w:hAnsi="宋体" w:eastAsia="宋体"/>
          <w:b w:val="0"/>
          <w:sz w:val="24"/>
        </w:rPr>
        <w:t>（2）於厚荣，等. 情感化设计驱动下的非遗产品人机协同创新路径研究——以苗族背扇为例[J]. 工业工程设计，2026，8(1).（第一作者，CSSCI扩展版）</w:t>
      </w:r>
    </w:p>
    <w:p>
      <w:pPr>
        <w:spacing w:line="360" w:lineRule="auto" w:after="0"/>
      </w:pPr>
      <w:r>
        <w:rPr>
          <w:rFonts w:ascii="宋体" w:hAnsi="宋体" w:eastAsia="宋体"/>
          <w:b w:val="0"/>
          <w:sz w:val="24"/>
        </w:rPr>
        <w:t>（3）於厚荣，等. “设计原动力”视域下手工技艺数字化转译研究[J]. 艺术设计学刊，2025(3).（第一作者）</w:t>
      </w:r>
    </w:p>
    <w:p>
      <w:pPr>
        <w:spacing w:line="360" w:lineRule="auto" w:after="0"/>
      </w:pPr>
      <w:r>
        <w:rPr>
          <w:rFonts w:ascii="宋体" w:hAnsi="宋体" w:eastAsia="宋体"/>
          <w:b w:val="0"/>
          <w:sz w:val="24"/>
        </w:rPr>
        <w:t>（4）YU H R, et al. Contextual decoupling in color preference: multimodal evidence from spatial evaluation in makerspaces[J]. Frontiers in Psychology, 2026, 17.（第一作者，SSCI，JCR Q1）</w:t>
      </w:r>
    </w:p>
    <w:p>
      <w:pPr>
        <w:spacing w:line="360" w:lineRule="auto" w:after="0"/>
      </w:pPr>
      <w:r>
        <w:rPr>
          <w:rFonts w:ascii="宋体" w:hAnsi="宋体" w:eastAsia="宋体"/>
          <w:b w:val="0"/>
          <w:sz w:val="24"/>
        </w:rPr>
        <w:t>（5）於厚荣，等. 基于Cinema 4D的IP形象塑造研究[J]. 现代信息科技，2024，8(18).（第一作者）</w:t>
      </w:r>
    </w:p>
    <w:p>
      <w:pPr>
        <w:spacing w:line="312" w:lineRule="auto"/>
      </w:pPr>
      <w:r>
        <w:rPr>
          <w:rFonts w:ascii="楷体" w:hAnsi="楷体" w:eastAsia="楷体"/>
          <w:b w:val="0"/>
          <w:color w:val="C00000"/>
          <w:sz w:val="21"/>
        </w:rPr>
        <w:t>【填写提示】作者署名格式（是否独著、英文名拼写、合作者）请按实际情况修改。</w:t>
      </w:r>
    </w:p>
    <w:p>
      <w:pPr>
        <w:spacing w:before="120" w:after="60"/>
      </w:pPr>
      <w:r>
        <w:rPr>
          <w:rFonts w:ascii="黑体" w:hAnsi="黑体" w:eastAsia="黑体"/>
          <w:b/>
          <w:sz w:val="26"/>
        </w:rPr>
        <w:t>（四）项目组成员与分工</w:t>
      </w:r>
    </w:p>
    <w:tbl>
      <w:tblPr>
        <w:tblStyle w:val="TableGrid"/>
        <w:tblW w:type="auto" w:w="0"/>
        <w:tblLayout w:type="fixed"/>
        <w:tblLook w:firstColumn="1" w:firstRow="1" w:lastColumn="0" w:lastRow="0" w:noHBand="0" w:noVBand="1" w:val="04A0"/>
      </w:tblPr>
      <w:tblGrid>
        <w:gridCol w:w="1247"/>
        <w:gridCol w:w="1587"/>
        <w:gridCol w:w="1587"/>
        <w:gridCol w:w="4535"/>
      </w:tblGrid>
      <w:tr>
        <w:tc>
          <w:tcPr>
            <w:tcW w:type="dxa" w:w="1247"/>
          </w:tcPr>
          <w:p>
            <w:r/>
            <w:r>
              <w:rPr>
                <w:rFonts w:ascii="宋体" w:hAnsi="宋体" w:eastAsia="宋体"/>
                <w:b/>
                <w:sz w:val="21"/>
              </w:rPr>
              <w:t>姓名</w:t>
            </w:r>
          </w:p>
        </w:tc>
        <w:tc>
          <w:tcPr>
            <w:tcW w:type="dxa" w:w="1587"/>
          </w:tcPr>
          <w:p>
            <w:r/>
            <w:r>
              <w:rPr>
                <w:rFonts w:ascii="宋体" w:hAnsi="宋体" w:eastAsia="宋体"/>
                <w:b/>
                <w:sz w:val="21"/>
              </w:rPr>
              <w:t>职称/学位</w:t>
            </w:r>
          </w:p>
        </w:tc>
        <w:tc>
          <w:tcPr>
            <w:tcW w:type="dxa" w:w="1587"/>
          </w:tcPr>
          <w:p>
            <w:r/>
            <w:r>
              <w:rPr>
                <w:rFonts w:ascii="宋体" w:hAnsi="宋体" w:eastAsia="宋体"/>
                <w:b/>
                <w:sz w:val="21"/>
              </w:rPr>
              <w:t>单位</w:t>
            </w:r>
          </w:p>
        </w:tc>
        <w:tc>
          <w:tcPr>
            <w:tcW w:type="dxa" w:w="4535"/>
          </w:tcPr>
          <w:p>
            <w:r/>
            <w:r>
              <w:rPr>
                <w:rFonts w:ascii="宋体" w:hAnsi="宋体" w:eastAsia="宋体"/>
                <w:b/>
                <w:sz w:val="21"/>
              </w:rPr>
              <w:t>分工</w:t>
            </w:r>
          </w:p>
        </w:tc>
      </w:tr>
      <w:tr>
        <w:tc>
          <w:tcPr>
            <w:tcW w:type="dxa" w:w="1247"/>
          </w:tcPr>
          <w:p>
            <w:r/>
            <w:r>
              <w:rPr>
                <w:rFonts w:ascii="宋体" w:hAnsi="宋体" w:eastAsia="宋体"/>
                <w:b w:val="0"/>
                <w:sz w:val="21"/>
              </w:rPr>
              <w:t>於厚荣</w:t>
            </w:r>
          </w:p>
        </w:tc>
        <w:tc>
          <w:tcPr>
            <w:tcW w:type="dxa" w:w="1587"/>
          </w:tcPr>
          <w:p>
            <w:r/>
            <w:r>
              <w:rPr>
                <w:rFonts w:ascii="宋体" w:hAnsi="宋体" w:eastAsia="宋体"/>
                <w:b w:val="0"/>
                <w:sz w:val="21"/>
              </w:rPr>
              <w:t>讲师/硕士</w:t>
            </w:r>
          </w:p>
        </w:tc>
        <w:tc>
          <w:tcPr>
            <w:tcW w:type="dxa" w:w="1587"/>
          </w:tcPr>
          <w:p>
            <w:r/>
            <w:r>
              <w:rPr>
                <w:rFonts w:ascii="宋体" w:hAnsi="宋体" w:eastAsia="宋体"/>
                <w:b w:val="0"/>
                <w:sz w:val="21"/>
              </w:rPr>
              <w:t>凯里学院</w:t>
            </w:r>
          </w:p>
        </w:tc>
        <w:tc>
          <w:tcPr>
            <w:tcW w:type="dxa" w:w="4535"/>
          </w:tcPr>
          <w:p>
            <w:r/>
            <w:r>
              <w:rPr>
                <w:rFonts w:ascii="宋体" w:hAnsi="宋体" w:eastAsia="宋体"/>
                <w:b w:val="0"/>
                <w:sz w:val="21"/>
              </w:rPr>
              <w:t>项目负责人，总体设计、知识表征与对照实验</w:t>
            </w:r>
          </w:p>
        </w:tc>
      </w:tr>
      <w:tr>
        <w:tc>
          <w:tcPr>
            <w:tcW w:type="dxa" w:w="1247"/>
          </w:tcPr>
          <w:p>
            <w:r/>
            <w:r>
              <w:rPr>
                <w:rFonts w:ascii="宋体" w:hAnsi="宋体" w:eastAsia="宋体"/>
                <w:b w:val="0"/>
                <w:sz w:val="21"/>
              </w:rPr>
              <w:t>彭茜</w:t>
            </w:r>
          </w:p>
        </w:tc>
        <w:tc>
          <w:tcPr>
            <w:tcW w:type="dxa" w:w="1587"/>
          </w:tcPr>
          <w:p>
            <w:r/>
            <w:r>
              <w:rPr>
                <w:rFonts w:ascii="宋体" w:hAnsi="宋体" w:eastAsia="宋体"/>
                <w:b w:val="0"/>
                <w:sz w:val="21"/>
              </w:rPr>
              <w:t>讲师/硕士</w:t>
            </w:r>
          </w:p>
        </w:tc>
        <w:tc>
          <w:tcPr>
            <w:tcW w:type="dxa" w:w="1587"/>
          </w:tcPr>
          <w:p>
            <w:r/>
            <w:r>
              <w:rPr>
                <w:rFonts w:ascii="宋体" w:hAnsi="宋体" w:eastAsia="宋体"/>
                <w:b w:val="0"/>
                <w:sz w:val="21"/>
              </w:rPr>
              <w:t>凯里学院</w:t>
            </w:r>
          </w:p>
        </w:tc>
        <w:tc>
          <w:tcPr>
            <w:tcW w:type="dxa" w:w="4535"/>
          </w:tcPr>
          <w:p>
            <w:r/>
            <w:r>
              <w:rPr>
                <w:rFonts w:ascii="宋体" w:hAnsi="宋体" w:eastAsia="宋体"/>
                <w:b w:val="0"/>
                <w:sz w:val="21"/>
              </w:rPr>
              <w:t>纹样部件标注规范、生成实验与设计任务组织</w:t>
            </w:r>
          </w:p>
        </w:tc>
      </w:tr>
      <w:tr>
        <w:tc>
          <w:tcPr>
            <w:tcW w:type="dxa" w:w="1247"/>
          </w:tcPr>
          <w:p>
            <w:r/>
            <w:r>
              <w:rPr>
                <w:rFonts w:ascii="宋体" w:hAnsi="宋体" w:eastAsia="宋体"/>
                <w:b w:val="0"/>
                <w:sz w:val="21"/>
              </w:rPr>
              <w:t>吴亚霄</w:t>
            </w:r>
          </w:p>
        </w:tc>
        <w:tc>
          <w:tcPr>
            <w:tcW w:type="dxa" w:w="1587"/>
          </w:tcPr>
          <w:p>
            <w:r/>
            <w:r>
              <w:rPr>
                <w:rFonts w:ascii="宋体" w:hAnsi="宋体" w:eastAsia="宋体"/>
                <w:b w:val="0"/>
                <w:sz w:val="21"/>
              </w:rPr>
              <w:t>讲师/硕士</w:t>
            </w:r>
          </w:p>
        </w:tc>
        <w:tc>
          <w:tcPr>
            <w:tcW w:type="dxa" w:w="1587"/>
          </w:tcPr>
          <w:p>
            <w:r/>
            <w:r>
              <w:rPr>
                <w:rFonts w:ascii="宋体" w:hAnsi="宋体" w:eastAsia="宋体"/>
                <w:b w:val="0"/>
                <w:sz w:val="21"/>
              </w:rPr>
              <w:t>凯里学院</w:t>
            </w:r>
          </w:p>
        </w:tc>
        <w:tc>
          <w:tcPr>
            <w:tcW w:type="dxa" w:w="4535"/>
          </w:tcPr>
          <w:p>
            <w:r/>
            <w:r>
              <w:rPr>
                <w:rFonts w:ascii="宋体" w:hAnsi="宋体" w:eastAsia="宋体"/>
                <w:b w:val="0"/>
                <w:sz w:val="21"/>
              </w:rPr>
              <w:t>田野调查、刺激图诱发与数据集管理</w:t>
            </w:r>
          </w:p>
        </w:tc>
      </w:tr>
      <w:tr>
        <w:tc>
          <w:tcPr>
            <w:tcW w:type="dxa" w:w="1247"/>
          </w:tcPr>
          <w:p>
            <w:r/>
            <w:r>
              <w:rPr>
                <w:rFonts w:ascii="宋体" w:hAnsi="宋体" w:eastAsia="宋体"/>
                <w:b w:val="0"/>
                <w:sz w:val="21"/>
              </w:rPr>
              <w:t>肖玉月</w:t>
            </w:r>
          </w:p>
        </w:tc>
        <w:tc>
          <w:tcPr>
            <w:tcW w:type="dxa" w:w="1587"/>
          </w:tcPr>
          <w:p>
            <w:r/>
            <w:r>
              <w:rPr>
                <w:rFonts w:ascii="宋体" w:hAnsi="宋体" w:eastAsia="宋体"/>
                <w:b w:val="0"/>
                <w:sz w:val="21"/>
              </w:rPr>
              <w:t>助教/硕士</w:t>
            </w:r>
          </w:p>
        </w:tc>
        <w:tc>
          <w:tcPr>
            <w:tcW w:type="dxa" w:w="1587"/>
          </w:tcPr>
          <w:p>
            <w:r/>
            <w:r>
              <w:rPr>
                <w:rFonts w:ascii="宋体" w:hAnsi="宋体" w:eastAsia="宋体"/>
                <w:b w:val="0"/>
                <w:sz w:val="21"/>
              </w:rPr>
              <w:t>凯里学院</w:t>
            </w:r>
          </w:p>
        </w:tc>
        <w:tc>
          <w:tcPr>
            <w:tcW w:type="dxa" w:w="4535"/>
          </w:tcPr>
          <w:p>
            <w:r/>
            <w:r>
              <w:rPr>
                <w:rFonts w:ascii="宋体" w:hAnsi="宋体" w:eastAsia="宋体"/>
                <w:b w:val="0"/>
                <w:sz w:val="21"/>
              </w:rPr>
              <w:t>德尔菲评议、盲评与统计分析</w:t>
            </w:r>
          </w:p>
        </w:tc>
      </w:tr>
      <w:tr>
        <w:tc>
          <w:tcPr>
            <w:tcW w:type="dxa" w:w="1247"/>
          </w:tcPr>
          <w:p>
            <w:r/>
            <w:r>
              <w:rPr>
                <w:rFonts w:ascii="宋体" w:hAnsi="宋体" w:eastAsia="宋体"/>
                <w:b w:val="0"/>
                <w:sz w:val="21"/>
              </w:rPr>
              <w:t>杨文文</w:t>
            </w:r>
          </w:p>
        </w:tc>
        <w:tc>
          <w:tcPr>
            <w:tcW w:type="dxa" w:w="1587"/>
          </w:tcPr>
          <w:p>
            <w:r/>
            <w:r>
              <w:rPr>
                <w:rFonts w:ascii="宋体" w:hAnsi="宋体" w:eastAsia="宋体"/>
                <w:b w:val="0"/>
                <w:sz w:val="21"/>
              </w:rPr>
              <w:t>在读本科生</w:t>
            </w:r>
          </w:p>
        </w:tc>
        <w:tc>
          <w:tcPr>
            <w:tcW w:type="dxa" w:w="1587"/>
          </w:tcPr>
          <w:p>
            <w:r/>
            <w:r>
              <w:rPr>
                <w:rFonts w:ascii="宋体" w:hAnsi="宋体" w:eastAsia="宋体"/>
                <w:b w:val="0"/>
                <w:sz w:val="21"/>
              </w:rPr>
              <w:t>凯里学院</w:t>
            </w:r>
          </w:p>
        </w:tc>
        <w:tc>
          <w:tcPr>
            <w:tcW w:type="dxa" w:w="4535"/>
          </w:tcPr>
          <w:p>
            <w:r/>
            <w:r>
              <w:rPr>
                <w:rFonts w:ascii="宋体" w:hAnsi="宋体" w:eastAsia="宋体"/>
                <w:b w:val="0"/>
                <w:sz w:val="21"/>
              </w:rPr>
              <w:t>数据标注、实验记录与资料整理</w:t>
            </w:r>
          </w:p>
        </w:tc>
      </w:tr>
    </w:tbl>
    <w:p/>
    <w:p>
      <w:pPr>
        <w:spacing w:line="312" w:lineRule="auto"/>
      </w:pPr>
      <w:r>
        <w:rPr>
          <w:rFonts w:ascii="楷体" w:hAnsi="楷体" w:eastAsia="楷体"/>
          <w:b w:val="0"/>
          <w:color w:val="C00000"/>
          <w:sz w:val="21"/>
        </w:rPr>
        <w:t>【填写提示】本项目新增了评估模型和生成方法，建议补充1名计算机视觉或人工智能方向的教师（最好有博士学位），负责模型部分，能明显提升评审对技术可行性的判断。成员信息须与系统中“项目组成员”栏一致，不要出现正文写了而成员表里没有的人。</w:t>
      </w:r>
    </w:p>
    <w:sectPr w:rsidR="00FC693F" w:rsidRPr="0006063C" w:rsidSect="00034616">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