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010" w:rsidRDefault="000C6010" w:rsidP="000C6010">
      <w:pPr>
        <w:pStyle w:val="Title"/>
      </w:pPr>
      <w:r>
        <w:t>David Qin</w:t>
      </w:r>
    </w:p>
    <w:p w:rsidR="000C6010" w:rsidRPr="00A6154F" w:rsidRDefault="000C6010" w:rsidP="000C6010">
      <w:pPr>
        <w:pStyle w:val="Title"/>
      </w:pPr>
      <w:r>
        <w:t>PA</w:t>
      </w:r>
      <w:r w:rsidR="00FE410D">
        <w:t>3</w:t>
      </w:r>
      <w:r>
        <w:t xml:space="preserve">: </w:t>
      </w:r>
      <w:r w:rsidR="001C19BA">
        <w:t>Synchronization</w:t>
      </w:r>
    </w:p>
    <w:p w:rsidR="000C6010" w:rsidRDefault="000C6010" w:rsidP="000C6010">
      <w:pPr>
        <w:pStyle w:val="Title"/>
      </w:pPr>
      <w:r>
        <w:t xml:space="preserve">Dr. Ahmed </w:t>
      </w:r>
    </w:p>
    <w:p w:rsidR="000C6010" w:rsidRDefault="000C6010" w:rsidP="000C6010">
      <w:pPr>
        <w:pStyle w:val="Title"/>
      </w:pPr>
      <w:r>
        <w:t>1</w:t>
      </w:r>
      <w:r w:rsidR="001C19BA">
        <w:t>1</w:t>
      </w:r>
      <w:r>
        <w:t>/</w:t>
      </w:r>
      <w:r w:rsidR="00FE410D">
        <w:t>1</w:t>
      </w:r>
      <w:r>
        <w:t>/18</w:t>
      </w:r>
    </w:p>
    <w:p w:rsidR="000C6010" w:rsidRDefault="000C6010" w:rsidP="000C6010"/>
    <w:p w:rsidR="000C6010" w:rsidRDefault="000C6010" w:rsidP="000C6010">
      <w:r>
        <w:br w:type="page"/>
      </w:r>
    </w:p>
    <w:p w:rsidR="007A17DE" w:rsidRDefault="007A17DE" w:rsidP="007A17DE">
      <w:pPr>
        <w:pStyle w:val="Heading2"/>
      </w:pPr>
      <w:r>
        <w:lastRenderedPageBreak/>
        <w:t>Code Differences:</w:t>
      </w:r>
    </w:p>
    <w:p w:rsidR="007A17DE" w:rsidRPr="007A17DE" w:rsidRDefault="009233A1" w:rsidP="007A17DE">
      <w:r>
        <w:t>One of the biggest changes is that threads now run all at once rather than letting the buffer fill up. This buffer has a set size that can hold a limited amount of thread requests from its clients. In addition to, there are now three statistics buffers that will gather pushed responses. These threads will update the histogram independently rather than all at once like before. Lastly, the BoundBuffer class now has synchronization variables to help manage these new thread structures.</w:t>
      </w:r>
      <w:r w:rsidR="00E020AF">
        <w:t xml:space="preserve"> In this case’s program of 10k requests, the new program wasn’t really that much more efficient or inefficient. However, I can see it being better as you require tons (like billions) of requests at once and you don’t just want to fill up a buffer to that size.</w:t>
      </w:r>
    </w:p>
    <w:p w:rsidR="000C6010" w:rsidRDefault="007A17DE" w:rsidP="007A17DE">
      <w:pPr>
        <w:pStyle w:val="Heading2"/>
      </w:pPr>
      <w:r>
        <w:t xml:space="preserve"> </w:t>
      </w:r>
      <w:r w:rsidR="00E020AF">
        <w:t>Worker Threads Ran</w:t>
      </w:r>
      <w:r>
        <w:t xml:space="preserve">: </w:t>
      </w:r>
    </w:p>
    <w:p w:rsidR="00E020AF" w:rsidRPr="00E020AF" w:rsidRDefault="00E020AF" w:rsidP="00E020AF">
      <w:r>
        <w:t>The time needed to process is about as expected, increasing in performance with the number of threads. It gets better up until 509 threads where it can no longer open any more. Number of requests is 10k.</w:t>
      </w:r>
    </w:p>
    <w:p w:rsidR="00472B87" w:rsidRDefault="007A17DE">
      <w:r>
        <w:rPr>
          <w:noProof/>
        </w:rPr>
        <w:drawing>
          <wp:inline distT="0" distB="0" distL="0" distR="0" wp14:anchorId="55D09509" wp14:editId="137214C8">
            <wp:extent cx="3817620" cy="2270760"/>
            <wp:effectExtent l="0" t="0" r="1143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020AF" w:rsidRPr="009A6D18" w:rsidRDefault="00E020AF" w:rsidP="00E020AF">
      <w:pPr>
        <w:pStyle w:val="Heading2"/>
      </w:pPr>
      <w:r>
        <w:t>Buffer Size Changes:</w:t>
      </w:r>
    </w:p>
    <w:p w:rsidR="007A17DE" w:rsidRDefault="00E020AF">
      <w:r>
        <w:t>The buffer size changes however doesn’t have as much of a prominent effect. 10k threads ran. Worker threads is kept at 25.</w:t>
      </w:r>
    </w:p>
    <w:p w:rsidR="00E020AF" w:rsidRDefault="00E020AF">
      <w:r>
        <w:rPr>
          <w:noProof/>
        </w:rPr>
        <w:drawing>
          <wp:inline distT="0" distB="0" distL="0" distR="0" wp14:anchorId="41B908B5" wp14:editId="728FDFCB">
            <wp:extent cx="4000500" cy="2423160"/>
            <wp:effectExtent l="0" t="0" r="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sectPr w:rsidR="00E02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021A8"/>
    <w:multiLevelType w:val="hybridMultilevel"/>
    <w:tmpl w:val="CDA4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22"/>
    <w:rsid w:val="000C6010"/>
    <w:rsid w:val="001C19BA"/>
    <w:rsid w:val="00472B87"/>
    <w:rsid w:val="00541522"/>
    <w:rsid w:val="007115B1"/>
    <w:rsid w:val="007A17DE"/>
    <w:rsid w:val="00822844"/>
    <w:rsid w:val="00870527"/>
    <w:rsid w:val="009233A1"/>
    <w:rsid w:val="00E020AF"/>
    <w:rsid w:val="00FE4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0D1D0-EEC0-4F43-8322-BF69E375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010"/>
  </w:style>
  <w:style w:type="paragraph" w:styleId="Heading2">
    <w:name w:val="heading 2"/>
    <w:basedOn w:val="Normal"/>
    <w:next w:val="Normal"/>
    <w:link w:val="Heading2Char"/>
    <w:uiPriority w:val="9"/>
    <w:unhideWhenUsed/>
    <w:qFormat/>
    <w:rsid w:val="000C60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601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C60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0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1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Documents\CSCE313\PA3\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vid\Documents\CSCE313\PA3\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Sheet1!$A$2:$A$58</c:f>
              <c:numCache>
                <c:formatCode>General</c:formatCode>
                <c:ptCount val="57"/>
                <c:pt idx="0">
                  <c:v>1</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300</c:v>
                </c:pt>
                <c:pt idx="52">
                  <c:v>350</c:v>
                </c:pt>
                <c:pt idx="53">
                  <c:v>400</c:v>
                </c:pt>
                <c:pt idx="54">
                  <c:v>450</c:v>
                </c:pt>
                <c:pt idx="55">
                  <c:v>500</c:v>
                </c:pt>
                <c:pt idx="56">
                  <c:v>509</c:v>
                </c:pt>
              </c:numCache>
            </c:numRef>
          </c:xVal>
          <c:yVal>
            <c:numRef>
              <c:f>Sheet1!$B$2:$B$58</c:f>
              <c:numCache>
                <c:formatCode>General</c:formatCode>
                <c:ptCount val="57"/>
                <c:pt idx="0">
                  <c:v>131.68299999999999</c:v>
                </c:pt>
                <c:pt idx="1">
                  <c:v>25.556999999999999</c:v>
                </c:pt>
                <c:pt idx="2">
                  <c:v>12.637</c:v>
                </c:pt>
                <c:pt idx="3">
                  <c:v>8.2490000000000006</c:v>
                </c:pt>
                <c:pt idx="4">
                  <c:v>6.0670000000000002</c:v>
                </c:pt>
                <c:pt idx="5">
                  <c:v>4.859</c:v>
                </c:pt>
                <c:pt idx="6">
                  <c:v>4.1120000000000001</c:v>
                </c:pt>
                <c:pt idx="7">
                  <c:v>3.484</c:v>
                </c:pt>
                <c:pt idx="8">
                  <c:v>3.1480000000000001</c:v>
                </c:pt>
                <c:pt idx="9">
                  <c:v>2.7959999999999998</c:v>
                </c:pt>
                <c:pt idx="10">
                  <c:v>2.5870000000000002</c:v>
                </c:pt>
                <c:pt idx="11">
                  <c:v>2.4489999999999998</c:v>
                </c:pt>
                <c:pt idx="12">
                  <c:v>2.2639999999999998</c:v>
                </c:pt>
                <c:pt idx="13">
                  <c:v>1.998</c:v>
                </c:pt>
                <c:pt idx="14">
                  <c:v>1.994</c:v>
                </c:pt>
                <c:pt idx="15">
                  <c:v>1.82</c:v>
                </c:pt>
                <c:pt idx="16">
                  <c:v>1.8160000000000001</c:v>
                </c:pt>
                <c:pt idx="17">
                  <c:v>1.7030000000000001</c:v>
                </c:pt>
                <c:pt idx="18">
                  <c:v>1.585</c:v>
                </c:pt>
                <c:pt idx="19">
                  <c:v>1.6879999999999999</c:v>
                </c:pt>
                <c:pt idx="20">
                  <c:v>2.254</c:v>
                </c:pt>
                <c:pt idx="21">
                  <c:v>1.4159999999999999</c:v>
                </c:pt>
                <c:pt idx="22">
                  <c:v>1.3720000000000001</c:v>
                </c:pt>
                <c:pt idx="23">
                  <c:v>1.403</c:v>
                </c:pt>
                <c:pt idx="24">
                  <c:v>1.377</c:v>
                </c:pt>
                <c:pt idx="25">
                  <c:v>1.2929999999999999</c:v>
                </c:pt>
                <c:pt idx="26">
                  <c:v>1.466</c:v>
                </c:pt>
                <c:pt idx="27">
                  <c:v>1.331</c:v>
                </c:pt>
                <c:pt idx="28">
                  <c:v>1.72</c:v>
                </c:pt>
                <c:pt idx="29">
                  <c:v>1.6890000000000001</c:v>
                </c:pt>
                <c:pt idx="30">
                  <c:v>2.3580000000000001</c:v>
                </c:pt>
                <c:pt idx="31">
                  <c:v>1.653</c:v>
                </c:pt>
                <c:pt idx="32">
                  <c:v>1.8520000000000001</c:v>
                </c:pt>
                <c:pt idx="33">
                  <c:v>1.6890000000000001</c:v>
                </c:pt>
                <c:pt idx="34">
                  <c:v>1.885</c:v>
                </c:pt>
                <c:pt idx="35">
                  <c:v>1.95</c:v>
                </c:pt>
                <c:pt idx="36">
                  <c:v>2.1240000000000001</c:v>
                </c:pt>
                <c:pt idx="37">
                  <c:v>2.0310000000000001</c:v>
                </c:pt>
                <c:pt idx="38">
                  <c:v>2.0670000000000002</c:v>
                </c:pt>
                <c:pt idx="39">
                  <c:v>1.641</c:v>
                </c:pt>
                <c:pt idx="40">
                  <c:v>2.0640000000000001</c:v>
                </c:pt>
                <c:pt idx="41">
                  <c:v>1.663</c:v>
                </c:pt>
                <c:pt idx="42">
                  <c:v>1.9410000000000001</c:v>
                </c:pt>
                <c:pt idx="43">
                  <c:v>1.8169999999999999</c:v>
                </c:pt>
                <c:pt idx="44">
                  <c:v>2.3180000000000001</c:v>
                </c:pt>
                <c:pt idx="45">
                  <c:v>1.78</c:v>
                </c:pt>
                <c:pt idx="46">
                  <c:v>2.0920000000000001</c:v>
                </c:pt>
                <c:pt idx="47">
                  <c:v>1.8720000000000001</c:v>
                </c:pt>
                <c:pt idx="48">
                  <c:v>2.7</c:v>
                </c:pt>
                <c:pt idx="49">
                  <c:v>2.0489999999999999</c:v>
                </c:pt>
                <c:pt idx="50">
                  <c:v>1.915</c:v>
                </c:pt>
                <c:pt idx="51">
                  <c:v>1.77</c:v>
                </c:pt>
                <c:pt idx="52">
                  <c:v>2.4980000000000002</c:v>
                </c:pt>
                <c:pt idx="53">
                  <c:v>2.673</c:v>
                </c:pt>
                <c:pt idx="54">
                  <c:v>2.4870000000000001</c:v>
                </c:pt>
                <c:pt idx="55">
                  <c:v>2.4830000000000001</c:v>
                </c:pt>
                <c:pt idx="56">
                  <c:v>3.0089999999999999</c:v>
                </c:pt>
              </c:numCache>
            </c:numRef>
          </c:yVal>
          <c:smooth val="0"/>
        </c:ser>
        <c:dLbls>
          <c:showLegendKey val="0"/>
          <c:showVal val="0"/>
          <c:showCatName val="0"/>
          <c:showSerName val="0"/>
          <c:showPercent val="0"/>
          <c:showBubbleSize val="0"/>
        </c:dLbls>
        <c:axId val="619026336"/>
        <c:axId val="619013824"/>
      </c:scatterChart>
      <c:valAx>
        <c:axId val="619026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Worker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13824"/>
        <c:crosses val="autoZero"/>
        <c:crossBetween val="midCat"/>
      </c:valAx>
      <c:valAx>
        <c:axId val="619013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needed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26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[Book1.xlsx]Sheet1!$E$1</c:f>
              <c:strCache>
                <c:ptCount val="1"/>
                <c:pt idx="0">
                  <c:v>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[Book1.xlsx]Sheet1!$D$2:$D$18</c:f>
              <c:numCache>
                <c:formatCode>General</c:formatCode>
                <c:ptCount val="17"/>
                <c:pt idx="0">
                  <c:v>1</c:v>
                </c:pt>
                <c:pt idx="1">
                  <c:v>5</c:v>
                </c:pt>
                <c:pt idx="2">
                  <c:v>10</c:v>
                </c:pt>
                <c:pt idx="3">
                  <c:v>25</c:v>
                </c:pt>
                <c:pt idx="4">
                  <c:v>50</c:v>
                </c:pt>
                <c:pt idx="5">
                  <c:v>75</c:v>
                </c:pt>
                <c:pt idx="6">
                  <c:v>100</c:v>
                </c:pt>
                <c:pt idx="7">
                  <c:v>125</c:v>
                </c:pt>
                <c:pt idx="8">
                  <c:v>150</c:v>
                </c:pt>
                <c:pt idx="9">
                  <c:v>175</c:v>
                </c:pt>
                <c:pt idx="10">
                  <c:v>200</c:v>
                </c:pt>
                <c:pt idx="11">
                  <c:v>225</c:v>
                </c:pt>
                <c:pt idx="12">
                  <c:v>250</c:v>
                </c:pt>
                <c:pt idx="13">
                  <c:v>350</c:v>
                </c:pt>
                <c:pt idx="14">
                  <c:v>450</c:v>
                </c:pt>
                <c:pt idx="15">
                  <c:v>509</c:v>
                </c:pt>
                <c:pt idx="16">
                  <c:v>1000</c:v>
                </c:pt>
              </c:numCache>
            </c:numRef>
          </c:xVal>
          <c:yVal>
            <c:numRef>
              <c:f>[Book1.xlsx]Sheet1!$E$2:$E$18</c:f>
              <c:numCache>
                <c:formatCode>General</c:formatCode>
                <c:ptCount val="17"/>
                <c:pt idx="0">
                  <c:v>4.8460000000000001</c:v>
                </c:pt>
                <c:pt idx="1">
                  <c:v>4.8410000000000002</c:v>
                </c:pt>
                <c:pt idx="2">
                  <c:v>4.8007</c:v>
                </c:pt>
                <c:pt idx="3">
                  <c:v>5.5359999999999996</c:v>
                </c:pt>
                <c:pt idx="4">
                  <c:v>4.944</c:v>
                </c:pt>
                <c:pt idx="5">
                  <c:v>4.9210000000000003</c:v>
                </c:pt>
                <c:pt idx="6">
                  <c:v>4.8579999999999997</c:v>
                </c:pt>
                <c:pt idx="7">
                  <c:v>4.899</c:v>
                </c:pt>
                <c:pt idx="8">
                  <c:v>4.87</c:v>
                </c:pt>
                <c:pt idx="9">
                  <c:v>4.92</c:v>
                </c:pt>
                <c:pt idx="10">
                  <c:v>4.8570000000000002</c:v>
                </c:pt>
                <c:pt idx="11">
                  <c:v>4.8769999999999998</c:v>
                </c:pt>
                <c:pt idx="12">
                  <c:v>4.8410000000000002</c:v>
                </c:pt>
                <c:pt idx="13">
                  <c:v>4.8079999999999998</c:v>
                </c:pt>
                <c:pt idx="14">
                  <c:v>4.8869999999999996</c:v>
                </c:pt>
                <c:pt idx="15">
                  <c:v>4.8460000000000001</c:v>
                </c:pt>
                <c:pt idx="16">
                  <c:v>4.8769999999999998</c:v>
                </c:pt>
              </c:numCache>
            </c:numRef>
          </c:yVal>
          <c:smooth val="0"/>
        </c:ser>
        <c:dLbls>
          <c:showLegendKey val="0"/>
          <c:showVal val="0"/>
          <c:showCatName val="0"/>
          <c:showSerName val="0"/>
          <c:showPercent val="0"/>
          <c:showBubbleSize val="0"/>
        </c:dLbls>
        <c:axId val="619011104"/>
        <c:axId val="619025248"/>
      </c:scatterChart>
      <c:valAx>
        <c:axId val="619011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Buffer</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25248"/>
        <c:crosses val="autoZero"/>
        <c:crossBetween val="midCat"/>
      </c:valAx>
      <c:valAx>
        <c:axId val="619025248"/>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11104"/>
        <c:crosses val="autoZero"/>
        <c:crossBetween val="midCat"/>
        <c:majorUnit val="1"/>
        <c:min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Plebby Djehdvd</dc:creator>
  <cp:keywords/>
  <dc:description/>
  <cp:lastModifiedBy>Plebby Djehdvd</cp:lastModifiedBy>
  <cp:revision>5</cp:revision>
  <dcterms:created xsi:type="dcterms:W3CDTF">2018-11-01T23:32:00Z</dcterms:created>
  <dcterms:modified xsi:type="dcterms:W3CDTF">2018-11-02T00:49:00Z</dcterms:modified>
</cp:coreProperties>
</file>