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C0F28">
      <w:pPr>
        <w:pStyle w:val="7"/>
      </w:pPr>
      <w:r>
        <w:t>Revised Cochrane risk-of-bias tool for randomized trials (RoB 2)</w:t>
      </w:r>
    </w:p>
    <w:p w14:paraId="56807E56">
      <w:pPr>
        <w:pStyle w:val="7"/>
      </w:pPr>
      <w:r>
        <w:t>TEMPLATE FOR COMPLETION</w:t>
      </w:r>
    </w:p>
    <w:p w14:paraId="18CE5736">
      <w:pPr>
        <w:jc w:val="center"/>
      </w:pPr>
      <w:r>
        <w:t>Edited by Julian PT Higgins, Jelena Savović, Matthew J Page, Jonathan AC Sterne</w:t>
      </w:r>
      <w:r>
        <w:br w:type="textWrapping"/>
      </w:r>
      <w:r>
        <w:t>on behalf of the RoB2 Development Group</w:t>
      </w:r>
    </w:p>
    <w:p w14:paraId="3EF478C0">
      <w:pPr>
        <w:jc w:val="center"/>
        <w:rPr>
          <w:b/>
        </w:rPr>
      </w:pPr>
      <w:r>
        <w:rPr>
          <w:b/>
        </w:rPr>
        <w:t>Version of 22 August 2019</w:t>
      </w:r>
    </w:p>
    <w:p w14:paraId="43C93830"/>
    <w:p w14:paraId="197D6C7F"/>
    <w:p w14:paraId="3786F3B4"/>
    <w:p w14:paraId="65F0E0FF"/>
    <w:p w14:paraId="13350B58"/>
    <w:p w14:paraId="4106FE0A"/>
    <w:p w14:paraId="49DC7EA6"/>
    <w:p w14:paraId="71E23FD2"/>
    <w:p w14:paraId="0923B82E"/>
    <w:p w14:paraId="2B35EF2D"/>
    <w:p w14:paraId="16315ABF"/>
    <w:p w14:paraId="62DE2D91">
      <w:bookmarkStart w:id="0" w:name="_Hlk526850279"/>
      <w:r>
        <w:t>The development of the RoB 2 tool was supported by the MRC Network of Hubs for Trials Methodology Research (MR/L004933/2- N61), with the support of the host MRC ConDuCT-II Hub (Collaboration and innovation for Difficult and Complex randomised controlled Trials In Invasive procedures - MR/K025643/1), by MRC research grant MR/M025209/1, and by a grant from The Cochrane Collaboration.</w:t>
      </w:r>
    </w:p>
    <w:bookmarkEnd w:id="0"/>
    <w:p w14:paraId="085F2CEE"/>
    <w:sdt>
      <w:sdtPr>
        <w:alias w:val="Creative Commons License"/>
        <w:tag w:val="Creative Commons License"/>
        <w:id w:val="-2109571026"/>
        <w:lock w:val="contentLocked"/>
        <w:placeholder>
          <w:docPart w:val="58BD19B0230F4C1998F8034D193A9F8D"/>
        </w:placeholder>
      </w:sdtPr>
      <w:sdtContent>
        <w:p w14:paraId="464B670D">
          <w:r>
            <w:drawing>
              <wp:inline distT="0" distB="0" distL="0" distR="0">
                <wp:extent cx="809625" cy="266700"/>
                <wp:effectExtent l="0" t="0" r="9525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BD273A">
          <w:r>
            <w:t xml:space="preserve">This work is licensed under a </w:t>
          </w:r>
          <w:r>
            <w:fldChar w:fldCharType="begin"/>
          </w:r>
          <w:r>
            <w:instrText xml:space="preserve"> HYPERLINK "http://creativecommons.org/licenses/by-nc-nd/4.0/" </w:instrText>
          </w:r>
          <w:r>
            <w:fldChar w:fldCharType="separate"/>
          </w:r>
          <w:r>
            <w:rPr>
              <w:rStyle w:val="12"/>
            </w:rPr>
            <w:t>Creative Commons Attribution-NonCommercial-NoDerivatives 4.0 International License</w:t>
          </w:r>
          <w:r>
            <w:rPr>
              <w:rStyle w:val="12"/>
            </w:rPr>
            <w:fldChar w:fldCharType="end"/>
          </w:r>
          <w:r>
            <w:t>.</w:t>
          </w:r>
        </w:p>
      </w:sdtContent>
    </w:sdt>
    <w:tbl>
      <w:tblPr>
        <w:tblStyle w:val="9"/>
        <w:tblW w:w="138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7"/>
      </w:tblGrid>
      <w:tr w14:paraId="7A4E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7" w:type="dxa"/>
            <w:shd w:val="clear" w:color="auto" w:fill="auto"/>
          </w:tcPr>
          <w:p w14:paraId="5496BD2D">
            <w:pPr>
              <w:keepNext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Study details</w:t>
            </w:r>
          </w:p>
          <w:tbl>
            <w:tblPr>
              <w:tblStyle w:val="9"/>
              <w:tblW w:w="134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1"/>
              <w:gridCol w:w="11907"/>
            </w:tblGrid>
            <w:tr w14:paraId="563234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97" w:hRule="atLeast"/>
              </w:trPr>
              <w:tc>
                <w:tcPr>
                  <w:tcW w:w="1581" w:type="dxa"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  <w:vAlign w:val="center"/>
                </w:tcPr>
                <w:p w14:paraId="35E450C6">
                  <w:pPr>
                    <w:keepNext/>
                    <w:jc w:val="left"/>
                    <w:rPr>
                      <w:rFonts w:cstheme="minorHAnsi"/>
                      <w:b/>
                      <w:lang w:val="en-CA"/>
                    </w:rPr>
                  </w:pPr>
                  <w:r>
                    <w:rPr>
                      <w:rFonts w:cstheme="minorHAnsi"/>
                      <w:b/>
                      <w:lang w:val="en-CA"/>
                    </w:rPr>
                    <w:t>Reference</w:t>
                  </w:r>
                </w:p>
              </w:tc>
              <w:tc>
                <w:tcPr>
                  <w:tcW w:w="1190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2FB8536">
                  <w:pPr>
                    <w:keepNext/>
                    <w:jc w:val="left"/>
                    <w:rPr>
                      <w:rFonts w:cstheme="minorHAnsi"/>
                      <w:lang w:val="en-CA"/>
                    </w:rPr>
                  </w:pPr>
                </w:p>
              </w:tc>
            </w:tr>
          </w:tbl>
          <w:p w14:paraId="5F212BB6">
            <w:pPr>
              <w:keepNext/>
              <w:rPr>
                <w:rFonts w:cstheme="minorHAnsi"/>
                <w:b/>
                <w:lang w:val="en-CA"/>
              </w:rPr>
            </w:pPr>
          </w:p>
          <w:p w14:paraId="1696D3A4">
            <w:pPr>
              <w:keepNext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Study design</w:t>
            </w:r>
          </w:p>
          <w:tbl>
            <w:tblPr>
              <w:tblStyle w:val="9"/>
              <w:tblW w:w="134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2813"/>
            </w:tblGrid>
            <w:tr w14:paraId="7A83D6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41EAFC">
                  <w:pPr>
                    <w:keepNext/>
                    <w:jc w:val="center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t>X</w:t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E08610">
                  <w:pPr>
                    <w:keepNext/>
                    <w:jc w:val="left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t>Individually-randomized parallel-group trial</w:t>
                  </w:r>
                </w:p>
              </w:tc>
            </w:tr>
            <w:tr w14:paraId="02CD61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C2F990">
                  <w:pPr>
                    <w:keepNext/>
                    <w:jc w:val="center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ECE301">
                  <w:pPr>
                    <w:keepNext/>
                    <w:jc w:val="left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t>Cluster-randomized parallel-group trial</w:t>
                  </w:r>
                </w:p>
              </w:tc>
            </w:tr>
            <w:tr w14:paraId="4C3CDA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12DDB7">
                  <w:pPr>
                    <w:keepNext/>
                    <w:jc w:val="center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D082F6">
                  <w:pPr>
                    <w:keepNext/>
                    <w:jc w:val="left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t>Individually randomized cross-over (or other matched) trial</w:t>
                  </w:r>
                </w:p>
              </w:tc>
            </w:tr>
          </w:tbl>
          <w:p w14:paraId="1876FCD1">
            <w:pPr>
              <w:keepNext/>
              <w:rPr>
                <w:bCs/>
                <w:lang w:val="en-CA"/>
              </w:rPr>
            </w:pPr>
          </w:p>
          <w:p w14:paraId="710B7850">
            <w:pPr>
              <w:keepNext/>
              <w:rPr>
                <w:lang w:val="en-CA"/>
              </w:rPr>
            </w:pPr>
            <w:r>
              <w:rPr>
                <w:b/>
                <w:lang w:val="en-CA"/>
              </w:rPr>
              <w:t>For the purposes of this assessment, the interventions being compared are defined as</w:t>
            </w:r>
          </w:p>
          <w:tbl>
            <w:tblPr>
              <w:tblStyle w:val="9"/>
              <w:tblW w:w="910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1"/>
              <w:gridCol w:w="3098"/>
              <w:gridCol w:w="1354"/>
              <w:gridCol w:w="3188"/>
            </w:tblGrid>
            <w:tr w14:paraId="3872E8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8" w:type="dxa"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14:paraId="60139424">
                  <w:pPr>
                    <w:keepNext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Experimental:</w:t>
                  </w:r>
                </w:p>
              </w:tc>
              <w:tc>
                <w:tcPr>
                  <w:tcW w:w="312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</w:tcPr>
                <w:p w14:paraId="6A270550">
                  <w:pPr>
                    <w:keepNext/>
                    <w:rPr>
                      <w:lang w:val="en-CA"/>
                    </w:rPr>
                  </w:pPr>
                </w:p>
              </w:tc>
              <w:tc>
                <w:tcPr>
                  <w:tcW w:w="1333" w:type="dxa"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14:paraId="7603BEE7">
                  <w:pPr>
                    <w:keepNext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Comparator:</w:t>
                  </w:r>
                </w:p>
              </w:tc>
              <w:tc>
                <w:tcPr>
                  <w:tcW w:w="3210" w:type="dxa"/>
                  <w:tcBorders>
                    <w:left w:val="single" w:color="auto" w:sz="4" w:space="0"/>
                  </w:tcBorders>
                </w:tcPr>
                <w:p w14:paraId="08BF92E4">
                  <w:pPr>
                    <w:keepNext/>
                    <w:rPr>
                      <w:lang w:val="en-CA"/>
                    </w:rPr>
                  </w:pPr>
                </w:p>
              </w:tc>
            </w:tr>
          </w:tbl>
          <w:p w14:paraId="2B58093C">
            <w:pPr>
              <w:keepNext/>
              <w:rPr>
                <w:rFonts w:cstheme="minorHAnsi"/>
                <w:lang w:val="en-CA"/>
              </w:rPr>
            </w:pPr>
          </w:p>
          <w:tbl>
            <w:tblPr>
              <w:tblStyle w:val="9"/>
              <w:tblW w:w="134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51"/>
              <w:gridCol w:w="6237"/>
            </w:tblGrid>
            <w:tr w14:paraId="1A2064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6" w:hRule="atLeast"/>
              </w:trPr>
              <w:tc>
                <w:tcPr>
                  <w:tcW w:w="7251" w:type="dxa"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14:paraId="6B670375">
                  <w:pPr>
                    <w:keepNext/>
                    <w:spacing w:after="0"/>
                    <w:rPr>
                      <w:rFonts w:cstheme="minorHAnsi"/>
                      <w:b/>
                      <w:lang w:val="en-CA"/>
                    </w:rPr>
                  </w:pPr>
                  <w:r>
                    <w:rPr>
                      <w:rFonts w:cstheme="minorHAnsi"/>
                      <w:b/>
                      <w:lang w:val="en-CA"/>
                    </w:rPr>
                    <w:t>Specify which outcome is being assessed for risk of bias</w:t>
                  </w:r>
                </w:p>
              </w:tc>
              <w:tc>
                <w:tcPr>
                  <w:tcW w:w="6237" w:type="dxa"/>
                  <w:tcBorders>
                    <w:left w:val="single" w:color="auto" w:sz="4" w:space="0"/>
                  </w:tcBorders>
                </w:tcPr>
                <w:p w14:paraId="69FC9657">
                  <w:pPr>
                    <w:keepNext/>
                    <w:spacing w:after="0"/>
                    <w:rPr>
                      <w:rFonts w:cstheme="minorHAnsi"/>
                      <w:lang w:val="en-CA"/>
                    </w:rPr>
                  </w:pPr>
                </w:p>
              </w:tc>
            </w:tr>
          </w:tbl>
          <w:p w14:paraId="67C59E65">
            <w:pPr>
              <w:keepNext/>
              <w:spacing w:after="0"/>
              <w:rPr>
                <w:rFonts w:cstheme="minorHAnsi"/>
                <w:lang w:val="en-CA"/>
              </w:rPr>
            </w:pPr>
          </w:p>
          <w:tbl>
            <w:tblPr>
              <w:tblStyle w:val="9"/>
              <w:tblW w:w="134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60"/>
              <w:gridCol w:w="6228"/>
            </w:tblGrid>
            <w:tr w14:paraId="36DDBF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260" w:type="dxa"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14:paraId="235A6C93">
                  <w:pPr>
                    <w:keepNext/>
                    <w:spacing w:after="0"/>
                    <w:jc w:val="left"/>
                    <w:rPr>
                      <w:rFonts w:cstheme="minorHAnsi"/>
                      <w:b/>
                      <w:lang w:val="en-CA"/>
                    </w:rPr>
                  </w:pPr>
                  <w:r>
                    <w:rPr>
                      <w:rFonts w:cstheme="minorHAnsi"/>
                      <w:b/>
                      <w:lang w:val="en-CA"/>
                    </w:rPr>
                    <w:t>Specify the numerical result being assessed.</w:t>
                  </w:r>
                  <w:r>
                    <w:rPr>
                      <w:rFonts w:cstheme="minorHAnsi"/>
                      <w:lang w:val="en-CA"/>
                    </w:rPr>
                    <w:t xml:space="preserve"> In case of multiple alternative analyses being presented, specify the numeric result (e.g. RR = 1.52 (95% CI 0.83 to 2.77) and/or a reference (e.g. to a table, figure or paragraph) that uniquely defines the result being assessed.</w:t>
                  </w:r>
                </w:p>
              </w:tc>
              <w:tc>
                <w:tcPr>
                  <w:tcW w:w="6228" w:type="dxa"/>
                  <w:tcBorders>
                    <w:left w:val="single" w:color="auto" w:sz="4" w:space="0"/>
                  </w:tcBorders>
                </w:tcPr>
                <w:p w14:paraId="5F03FBBF">
                  <w:pPr>
                    <w:keepNext/>
                    <w:spacing w:after="0"/>
                    <w:rPr>
                      <w:rFonts w:cstheme="minorHAnsi"/>
                      <w:lang w:val="en-CA"/>
                    </w:rPr>
                  </w:pPr>
                </w:p>
              </w:tc>
            </w:tr>
          </w:tbl>
          <w:p w14:paraId="73F5636D">
            <w:pPr>
              <w:keepNext/>
              <w:spacing w:after="0"/>
              <w:rPr>
                <w:rFonts w:cstheme="minorHAnsi"/>
                <w:lang w:val="en-CA"/>
              </w:rPr>
            </w:pPr>
          </w:p>
          <w:p w14:paraId="27F4332D">
            <w:pPr>
              <w:keepNext/>
              <w:spacing w:after="0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Is the review team’s aim for this result…?</w:t>
            </w:r>
          </w:p>
          <w:tbl>
            <w:tblPr>
              <w:tblStyle w:val="9"/>
              <w:tblW w:w="1348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2813"/>
            </w:tblGrid>
            <w:tr w14:paraId="693D28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3" w:hRule="atLeast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5C1273">
                  <w:pPr>
                    <w:keepNext/>
                    <w:spacing w:after="0"/>
                    <w:jc w:val="center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3C9C19">
                  <w:pPr>
                    <w:keepNext/>
                    <w:spacing w:after="0"/>
                    <w:jc w:val="left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t xml:space="preserve">to assess the effect of </w:t>
                  </w:r>
                  <w:r>
                    <w:rPr>
                      <w:rFonts w:cstheme="minorHAnsi"/>
                      <w:i/>
                      <w:lang w:val="en-CA"/>
                    </w:rPr>
                    <w:t>assignment to intervention</w:t>
                  </w:r>
                  <w:r>
                    <w:rPr>
                      <w:rFonts w:cstheme="minorHAnsi"/>
                      <w:lang w:val="en-CA"/>
                    </w:rPr>
                    <w:t xml:space="preserve"> (the ‘intention-to-treat’ effect)</w:t>
                  </w:r>
                </w:p>
              </w:tc>
            </w:tr>
            <w:tr w14:paraId="2E43A6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3" w:hRule="atLeast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3A1511">
                  <w:pPr>
                    <w:keepNext/>
                    <w:spacing w:after="0"/>
                    <w:jc w:val="center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471028">
                  <w:pPr>
                    <w:keepNext/>
                    <w:spacing w:after="0"/>
                    <w:jc w:val="left"/>
                    <w:rPr>
                      <w:rFonts w:cstheme="minorHAnsi"/>
                      <w:lang w:val="en-CA"/>
                    </w:rPr>
                  </w:pPr>
                  <w:r>
                    <w:rPr>
                      <w:rFonts w:cstheme="minorHAnsi"/>
                      <w:lang w:val="en-CA"/>
                    </w:rPr>
                    <w:t xml:space="preserve">to assess the effect of </w:t>
                  </w:r>
                  <w:r>
                    <w:rPr>
                      <w:rFonts w:cstheme="minorHAnsi"/>
                      <w:i/>
                      <w:lang w:val="en-CA"/>
                    </w:rPr>
                    <w:t>adhering to intervention</w:t>
                  </w:r>
                  <w:r>
                    <w:rPr>
                      <w:rFonts w:cstheme="minorHAnsi"/>
                      <w:lang w:val="en-CA"/>
                    </w:rPr>
                    <w:t xml:space="preserve"> (the ‘per-protocol’ effect)</w:t>
                  </w:r>
                </w:p>
              </w:tc>
            </w:tr>
          </w:tbl>
          <w:p w14:paraId="745179AC">
            <w:pPr>
              <w:keepNext/>
              <w:rPr>
                <w:rFonts w:cstheme="minorHAnsi"/>
                <w:lang w:val="en-CA"/>
              </w:rPr>
            </w:pPr>
          </w:p>
          <w:p w14:paraId="74B5B76A">
            <w:pPr>
              <w:keepNext/>
              <w:jc w:val="left"/>
              <w:rPr>
                <w:lang w:val="en-CA"/>
              </w:rPr>
            </w:pPr>
            <w:r>
              <w:rPr>
                <w:b/>
                <w:lang w:val="en-CA"/>
              </w:rPr>
              <w:t xml:space="preserve">If the aim is to assess the effect of </w:t>
            </w:r>
            <w:r>
              <w:rPr>
                <w:b/>
                <w:i/>
                <w:lang w:val="en-CA"/>
              </w:rPr>
              <w:t>adhering to intervention</w:t>
            </w:r>
            <w:r>
              <w:rPr>
                <w:lang w:val="en-CA"/>
              </w:rPr>
              <w:t xml:space="preserve">, select the deviations from intended intervention that should be addressed (at least one must be checked): </w:t>
            </w:r>
          </w:p>
          <w:p w14:paraId="7A4A4821">
            <w:pPr>
              <w:keepNext/>
              <w:spacing w:after="0"/>
              <w:rPr>
                <w:lang w:val="en-CA"/>
              </w:rPr>
            </w:pPr>
            <w:r>
              <w:rPr>
                <w:szCs w:val="20"/>
                <w:lang w:val="en-CA"/>
              </w:rPr>
              <w:sym w:font="Wingdings 2" w:char="F0A3"/>
            </w:r>
            <w:r>
              <w:rPr>
                <w:szCs w:val="20"/>
                <w:lang w:val="en-CA"/>
              </w:rPr>
              <w:tab/>
            </w:r>
            <w:r>
              <w:rPr>
                <w:szCs w:val="20"/>
                <w:lang w:val="en-CA"/>
              </w:rPr>
              <w:t>occurrence of non-protocol interventions</w:t>
            </w:r>
          </w:p>
          <w:p w14:paraId="0EBE061D">
            <w:pPr>
              <w:keepNext/>
              <w:spacing w:after="0"/>
              <w:rPr>
                <w:lang w:val="en-CA"/>
              </w:rPr>
            </w:pPr>
            <w:r>
              <w:rPr>
                <w:szCs w:val="20"/>
                <w:lang w:val="en-CA"/>
              </w:rPr>
              <w:sym w:font="Wingdings 2" w:char="F0A3"/>
            </w:r>
            <w:r>
              <w:rPr>
                <w:szCs w:val="20"/>
                <w:lang w:val="en-CA"/>
              </w:rPr>
              <w:tab/>
            </w:r>
            <w:r>
              <w:rPr>
                <w:lang w:val="en-CA"/>
              </w:rPr>
              <w:t>failures in implementing the intervention that could have affected the outcome</w:t>
            </w:r>
          </w:p>
          <w:p w14:paraId="2AFD3E35">
            <w:pPr>
              <w:keepNext/>
              <w:rPr>
                <w:lang w:val="en-CA"/>
              </w:rPr>
            </w:pPr>
            <w:r>
              <w:rPr>
                <w:szCs w:val="20"/>
                <w:lang w:val="en-CA"/>
              </w:rPr>
              <w:sym w:font="Wingdings 2" w:char="F0A3"/>
            </w:r>
            <w:r>
              <w:rPr>
                <w:szCs w:val="20"/>
                <w:lang w:val="en-CA"/>
              </w:rPr>
              <w:tab/>
            </w:r>
            <w:r>
              <w:rPr>
                <w:lang w:val="en-CA"/>
              </w:rPr>
              <w:t>non-adherence to their assigned intervention by trial participants</w:t>
            </w:r>
          </w:p>
          <w:p w14:paraId="2326F65A">
            <w:pPr>
              <w:keepNext/>
              <w:rPr>
                <w:rFonts w:cstheme="minorHAnsi"/>
                <w:b/>
                <w:lang w:val="en-CA"/>
              </w:rPr>
            </w:pPr>
          </w:p>
          <w:p w14:paraId="24D5DC2B">
            <w:pPr>
              <w:keepNext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 xml:space="preserve">Which of the following sources were </w:t>
            </w:r>
            <w:r>
              <w:rPr>
                <w:rFonts w:cstheme="minorHAnsi"/>
                <w:b/>
                <w:u w:val="single"/>
                <w:lang w:val="en-CA"/>
              </w:rPr>
              <w:t>obtained</w:t>
            </w:r>
            <w:r>
              <w:rPr>
                <w:rFonts w:cstheme="minorHAnsi"/>
                <w:b/>
                <w:lang w:val="en-CA"/>
              </w:rPr>
              <w:t xml:space="preserve"> to help inform the risk-of-bias assessment? (tick as many as apply)</w:t>
            </w:r>
          </w:p>
          <w:p w14:paraId="3B6C228E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Journal article(s) with results of the trial</w:t>
            </w:r>
          </w:p>
          <w:p w14:paraId="3E767F9F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Trial protocol</w:t>
            </w:r>
          </w:p>
          <w:p w14:paraId="630ACF07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Statistical analysis plan (SAP)</w:t>
            </w:r>
          </w:p>
          <w:p w14:paraId="30B51856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Non-commercial trial registry record (e.g. ClinicalTrials.gov record)</w:t>
            </w:r>
          </w:p>
          <w:p w14:paraId="2E735816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Company-owned trial registry record (e.g. GSK Clinical Study Register record)</w:t>
            </w:r>
          </w:p>
          <w:p w14:paraId="1A070A5A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“Grey literature” (e.g. unpublished thesis)</w:t>
            </w:r>
          </w:p>
          <w:p w14:paraId="1B24E7AE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Conference abstract(s) about the trial</w:t>
            </w:r>
          </w:p>
          <w:p w14:paraId="71D8AE89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Regulatory document (e.g. Clinical Study Report, Drug Approval Package)</w:t>
            </w:r>
          </w:p>
          <w:p w14:paraId="20ACC40B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Research ethics application</w:t>
            </w:r>
          </w:p>
          <w:p w14:paraId="1EE9A0A8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 xml:space="preserve">Grant database summary (e.g. </w:t>
            </w:r>
            <w:r>
              <w:rPr>
                <w:rFonts w:eastAsia="Times New Roman" w:cstheme="minorHAnsi"/>
                <w:lang w:val="en-AU"/>
              </w:rPr>
              <w:t xml:space="preserve">NIH RePORTER or </w:t>
            </w:r>
            <w:r>
              <w:rPr>
                <w:rFonts w:cstheme="minorHAnsi"/>
                <w:lang w:val="en-CA"/>
              </w:rPr>
              <w:t>Research Councils UK Gateway to Research)</w:t>
            </w:r>
          </w:p>
          <w:p w14:paraId="03C50B87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Personal communication with trialist</w:t>
            </w:r>
          </w:p>
          <w:p w14:paraId="3957D9E3">
            <w:pPr>
              <w:keepNext/>
              <w:spacing w:after="0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sym w:font="Wingdings 2" w:char="F0A3"/>
            </w:r>
            <w:r>
              <w:rPr>
                <w:rFonts w:cstheme="minorHAnsi"/>
                <w:lang w:val="en-CA"/>
              </w:rPr>
              <w:tab/>
            </w:r>
            <w:r>
              <w:rPr>
                <w:rFonts w:cstheme="minorHAnsi"/>
                <w:lang w:val="en-CA"/>
              </w:rPr>
              <w:t>Personal communication with the sponsor</w:t>
            </w:r>
          </w:p>
        </w:tc>
      </w:tr>
    </w:tbl>
    <w:p w14:paraId="1EBA5370">
      <w:pPr>
        <w:spacing w:after="160" w:line="259" w:lineRule="auto"/>
        <w:jc w:val="left"/>
        <w:rPr>
          <w:rStyle w:val="11"/>
        </w:rPr>
      </w:pPr>
    </w:p>
    <w:p w14:paraId="13826757">
      <w:pPr>
        <w:spacing w:after="160" w:line="259" w:lineRule="auto"/>
        <w:jc w:val="left"/>
        <w:rPr>
          <w:rFonts w:asciiTheme="majorHAnsi" w:hAnsiTheme="majorHAnsi" w:eastAsiaTheme="majorEastAsia" w:cstheme="majorBidi"/>
          <w:color w:val="2F5597" w:themeColor="accent1" w:themeShade="BF"/>
          <w:sz w:val="26"/>
          <w:szCs w:val="26"/>
        </w:rPr>
      </w:pPr>
      <w:r>
        <w:br w:type="page"/>
      </w:r>
    </w:p>
    <w:p w14:paraId="29D0FE74">
      <w:pPr>
        <w:pStyle w:val="3"/>
      </w:pPr>
      <w:r>
        <w:drawing>
          <wp:inline distT="0" distB="0" distL="114300" distR="114300">
            <wp:extent cx="4286250" cy="1287145"/>
            <wp:effectExtent l="0" t="0" r="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52A4">
      <w:pPr>
        <w:pStyle w:val="3"/>
      </w:pPr>
    </w:p>
    <w:p w14:paraId="491BF365">
      <w:pPr>
        <w:pStyle w:val="3"/>
      </w:pPr>
    </w:p>
    <w:p w14:paraId="3B42E20D">
      <w:pPr>
        <w:pStyle w:val="3"/>
      </w:pPr>
      <w:r>
        <w:t xml:space="preserve">Risk of bias assessment </w:t>
      </w:r>
    </w:p>
    <w:p w14:paraId="3963DBF2">
      <w:pPr>
        <w:keepNext/>
        <w:rPr>
          <w:rStyle w:val="11"/>
        </w:rPr>
      </w:pPr>
      <w:r>
        <w:t xml:space="preserve">Responses </w:t>
      </w:r>
      <w:r>
        <w:rPr>
          <w:color w:val="00B050"/>
          <w:u w:val="single"/>
        </w:rPr>
        <w:t>underlined in green</w:t>
      </w:r>
      <w:r>
        <w:t xml:space="preserve"> are potential markers for low risk of bias, and responses in </w:t>
      </w:r>
      <w:r>
        <w:rPr>
          <w:color w:val="FF0000"/>
        </w:rPr>
        <w:t>red</w:t>
      </w:r>
      <w:r>
        <w:t xml:space="preserve"> are potential markers for a risk of bias. Where questions relate only to sign posts to other questions, no formatting is used.</w:t>
      </w:r>
    </w:p>
    <w:p w14:paraId="0B2ED84D">
      <w:pPr>
        <w:keepNext/>
        <w:rPr>
          <w:rStyle w:val="11"/>
          <w:rFonts w:eastAsiaTheme="minorEastAsia"/>
          <w:color w:val="595959" w:themeColor="text1" w:themeTint="A6"/>
          <w:spacing w:val="1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Style w:val="11"/>
          <w:rFonts w:hint="eastAsia" w:eastAsiaTheme="minorEastAsia"/>
          <w:color w:val="595959" w:themeColor="text1" w:themeTint="A6"/>
          <w:spacing w:val="1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领域1：随机化过程产生的偏倚风险</w:t>
      </w:r>
    </w:p>
    <w:tbl>
      <w:tblPr>
        <w:tblStyle w:val="9"/>
        <w:tblpPr w:leftFromText="180" w:rightFromText="180" w:vertAnchor="text" w:tblpX="108" w:tblpY="1"/>
        <w:tblOverlap w:val="never"/>
        <w:tblW w:w="14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7087"/>
        <w:gridCol w:w="3205"/>
      </w:tblGrid>
      <w:tr w14:paraId="748B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74343079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Style w:val="11"/>
                <w:rFonts w:hint="eastAsia"/>
              </w:rPr>
              <w:t>领域1：随机化过程产生的偏倚风险</w:t>
            </w:r>
            <w:r>
              <w:rPr>
                <w:rFonts w:cstheme="minorHAnsi"/>
                <w:b/>
                <w:lang w:val="en-CA"/>
              </w:rPr>
              <w:t>Signalling questions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134758A">
            <w:pPr>
              <w:keepNext/>
              <w:keepLines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Comments</w:t>
            </w:r>
          </w:p>
        </w:tc>
        <w:tc>
          <w:tcPr>
            <w:tcW w:w="3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248DF20C">
            <w:pPr>
              <w:keepNext/>
              <w:spacing w:after="0"/>
              <w:jc w:val="center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Response options</w:t>
            </w:r>
          </w:p>
        </w:tc>
      </w:tr>
      <w:tr w14:paraId="39B9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0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0DEF0F21">
            <w:pPr>
              <w:keepNext/>
              <w:numPr>
                <w:numId w:val="0"/>
              </w:numPr>
              <w:ind w:leftChars="0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CA"/>
              </w:rPr>
              <w:t>1.1分配顺序是否随机？</w:t>
            </w:r>
          </w:p>
        </w:tc>
        <w:tc>
          <w:tcPr>
            <w:tcW w:w="708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F9127E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rPr>
                <w:rFonts w:cstheme="minorHAnsi"/>
                <w:lang w:val="en-CA"/>
              </w:rPr>
            </w:pPr>
          </w:p>
        </w:tc>
        <w:tc>
          <w:tcPr>
            <w:tcW w:w="3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741F1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color w:val="00B050"/>
                <w:u w:val="single"/>
                <w:lang w:val="en-CA"/>
              </w:rPr>
              <w:t>Y / PY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FF0000"/>
                <w:lang w:val="en-CA"/>
              </w:rPr>
              <w:t xml:space="preserve">PN / N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0999E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5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ED7D981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CA"/>
              </w:rPr>
              <w:t>1.2分配顺序是否在受试者入组并分配到干预组前一直保密？</w:t>
            </w:r>
          </w:p>
        </w:tc>
        <w:tc>
          <w:tcPr>
            <w:tcW w:w="708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FE5BB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3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D15CB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s-ES"/>
              </w:rPr>
            </w:pPr>
            <w:r>
              <w:rPr>
                <w:rFonts w:cstheme="minorHAnsi"/>
                <w:color w:val="00B050"/>
                <w:u w:val="single"/>
                <w:lang w:val="en-CA"/>
              </w:rPr>
              <w:t>Y / PY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FF0000"/>
                <w:lang w:val="en-CA"/>
              </w:rPr>
              <w:t xml:space="preserve">PN / N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7EB0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8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6FF09D02">
            <w:pPr>
              <w:keepNext/>
              <w:keepLines/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jc w:val="left"/>
              <w:rPr>
                <w:rFonts w:eastAsiaTheme="majorEastAsia" w:cstheme="minorHAnsi"/>
                <w:b/>
                <w:bCs/>
                <w:lang w:val="en-CA"/>
              </w:rPr>
            </w:pPr>
            <w:r>
              <w:rPr>
                <w:rFonts w:hint="eastAsia" w:eastAsiaTheme="majorEastAsia" w:cstheme="minorHAnsi"/>
                <w:b/>
                <w:bCs/>
                <w:lang w:val="en-CA"/>
              </w:rPr>
              <w:t>1.3干预组间的基线差异是否提示随机化过程存在问题？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C43D0D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3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70826">
            <w:pPr>
              <w:keepNext/>
              <w:spacing w:after="0"/>
              <w:jc w:val="center"/>
              <w:rPr>
                <w:rFonts w:cstheme="minorHAnsi"/>
                <w:lang w:val="es-ES"/>
              </w:rPr>
            </w:pPr>
            <w:r>
              <w:rPr>
                <w:rFonts w:cstheme="minorHAnsi"/>
                <w:color w:val="FF0000"/>
                <w:lang w:val="en-CA"/>
              </w:rPr>
              <w:t>Y / PY</w:t>
            </w:r>
            <w:r>
              <w:rPr>
                <w:rFonts w:cstheme="minorHAnsi"/>
                <w:lang w:val="en-CA"/>
              </w:rPr>
              <w:t xml:space="preserve"> 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PN / N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3A21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9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4BA01FB1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lang w:val="en-CA"/>
              </w:rPr>
            </w:pPr>
            <w:r>
              <w:rPr>
                <w:rFonts w:hint="eastAsia" w:cstheme="minorHAnsi"/>
                <w:lang w:val="en-CA"/>
              </w:rPr>
              <w:t>偏倚风险评估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CA3BD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3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26CB8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Low / High / Some concerns</w:t>
            </w:r>
          </w:p>
        </w:tc>
      </w:tr>
      <w:tr w14:paraId="69D6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334F0CED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  <w:r>
              <w:rPr>
                <w:rFonts w:hint="eastAsia" w:cstheme="minorHAnsi"/>
                <w:lang w:val="en-CA"/>
              </w:rPr>
              <w:t>可选：随机化过程产生的偏倚预测方向是什么？</w:t>
            </w:r>
          </w:p>
        </w:tc>
        <w:tc>
          <w:tcPr>
            <w:tcW w:w="7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FB60A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3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78496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NA / Favours experimental / Favours comparator / Towards null /Away from null / Unpredictable</w:t>
            </w:r>
          </w:p>
        </w:tc>
      </w:tr>
    </w:tbl>
    <w:p w14:paraId="5A34D27C">
      <w:pPr>
        <w:spacing w:after="160" w:line="259" w:lineRule="auto"/>
        <w:jc w:val="left"/>
        <w:rPr>
          <w:rFonts w:eastAsiaTheme="minorEastAsia"/>
          <w:color w:val="595959" w:themeColor="text1" w:themeTint="A6"/>
          <w:spacing w:val="1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</w:rPr>
        <w:t>第2部分：因偏离预期干预措施导致的偏倚风险（干预分配的影响）</w:t>
      </w:r>
      <w:r>
        <w:br w:type="page"/>
      </w:r>
    </w:p>
    <w:tbl>
      <w:tblPr>
        <w:tblStyle w:val="9"/>
        <w:tblpPr w:leftFromText="180" w:rightFromText="180" w:vertAnchor="text" w:tblpX="108" w:tblpY="1"/>
        <w:tblOverlap w:val="never"/>
        <w:tblW w:w="145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7513"/>
        <w:gridCol w:w="2836"/>
      </w:tblGrid>
      <w:tr w14:paraId="132C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218A6177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Signalling questions</w:t>
            </w:r>
          </w:p>
        </w:tc>
        <w:tc>
          <w:tcPr>
            <w:tcW w:w="7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54C9D763">
            <w:pPr>
              <w:keepNext/>
              <w:keepLines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Comments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5E58E3E7">
            <w:pPr>
              <w:keepNext/>
              <w:spacing w:after="0"/>
              <w:jc w:val="center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Response options</w:t>
            </w:r>
          </w:p>
        </w:tc>
      </w:tr>
      <w:tr w14:paraId="4E54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B1C6FFE">
            <w:pPr>
              <w:keepNext/>
              <w:spacing w:after="0"/>
              <w:jc w:val="left"/>
              <w:rPr>
                <w:rFonts w:cstheme="minorHAnsi"/>
                <w:b/>
                <w:u w:val="single"/>
                <w:lang w:val="en-CA"/>
              </w:rPr>
            </w:pPr>
            <w:r>
              <w:rPr>
                <w:rFonts w:hint="eastAsia"/>
                <w:b/>
                <w:szCs w:val="20"/>
                <w:lang w:val="en-CA"/>
              </w:rPr>
              <w:t>2.1.参与者是否清楚试验期间分配的干预措施？</w:t>
            </w:r>
          </w:p>
        </w:tc>
        <w:tc>
          <w:tcPr>
            <w:tcW w:w="7513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2D01158D">
            <w:pPr>
              <w:keepNext/>
              <w:spacing w:after="0"/>
              <w:jc w:val="left"/>
              <w:rPr>
                <w:rFonts w:cstheme="minorHAnsi"/>
                <w:u w:val="single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1DA4977E">
            <w:pPr>
              <w:keepNext/>
              <w:spacing w:after="0"/>
              <w:jc w:val="center"/>
              <w:rPr>
                <w:rFonts w:cstheme="minorHAnsi"/>
                <w:color w:val="00B050"/>
                <w:u w:val="single"/>
                <w:lang w:val="en-CA"/>
              </w:rPr>
            </w:pPr>
            <w:r>
              <w:rPr>
                <w:rFonts w:cstheme="minorHAnsi"/>
                <w:color w:val="FF0000"/>
                <w:lang w:val="en-CA"/>
              </w:rPr>
              <w:t xml:space="preserve">Y / PY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PN / N</w:t>
            </w:r>
            <w:r>
              <w:rPr>
                <w:rFonts w:cstheme="minorHAnsi"/>
                <w:color w:val="FF000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13DE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C73AA1C">
            <w:pPr>
              <w:keepNext/>
              <w:spacing w:after="0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szCs w:val="20"/>
                <w:lang w:val="en-CA"/>
              </w:rPr>
              <w:t>2.2.在试验期间，护理人员和实施干预措施的人员是否知晓受试者所接受的干预类型？</w:t>
            </w:r>
          </w:p>
        </w:tc>
        <w:tc>
          <w:tcPr>
            <w:tcW w:w="7513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1AB8C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4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ED641">
            <w:pPr>
              <w:keepNext/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>
              <w:rPr>
                <w:rFonts w:cstheme="minorHAnsi"/>
                <w:color w:val="FF0000"/>
                <w:lang w:val="en-CA"/>
              </w:rPr>
              <w:t>Y / PY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PN / N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2978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50117C63">
            <w:pPr>
              <w:keepNext/>
              <w:spacing w:after="0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szCs w:val="20"/>
                <w:lang w:val="en-CA"/>
              </w:rPr>
              <w:t>2.3.若Y/PY/NI涉及2.1或2.2项：是否存在因试验环境导致的偏离预期干预措施的情况？</w:t>
            </w:r>
          </w:p>
        </w:tc>
        <w:tc>
          <w:tcPr>
            <w:tcW w:w="7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49DDB669">
            <w:pPr>
              <w:keepNext/>
              <w:autoSpaceDE w:val="0"/>
              <w:autoSpaceDN w:val="0"/>
              <w:adjustRightInd w:val="0"/>
              <w:spacing w:after="0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A8D1">
            <w:pPr>
              <w:keepNext/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 xml:space="preserve">Y / PY </w:t>
            </w:r>
            <w:r>
              <w:rPr>
                <w:rFonts w:cstheme="minorHAnsi"/>
                <w:lang w:val="es-ES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tr w14:paraId="5AF3F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7C660418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szCs w:val="20"/>
                <w:lang w:val="en-CA"/>
              </w:rPr>
              <w:t>2.4如果Y/PY与2.3存在偏差：这些偏差是否可能影响结果？</w:t>
            </w:r>
          </w:p>
        </w:tc>
        <w:tc>
          <w:tcPr>
            <w:tcW w:w="7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70B7F7F0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AFAFB1">
            <w:pPr>
              <w:keepNext/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>Y / PY</w:t>
            </w:r>
            <w:r>
              <w:rPr>
                <w:rFonts w:cstheme="minorHAnsi"/>
                <w:lang w:val="es-ES"/>
              </w:rPr>
              <w:t xml:space="preserve"> 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tr w14:paraId="2741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078E4807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szCs w:val="20"/>
                <w:lang w:val="en-CA"/>
              </w:rPr>
              <w:t>2.5.若Y/PY/NI与2.4项存在偏差：这些偏离预期干预措施的情况在各组间是否均衡？</w:t>
            </w:r>
          </w:p>
        </w:tc>
        <w:tc>
          <w:tcPr>
            <w:tcW w:w="7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786DF14F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F4974">
            <w:pPr>
              <w:keepNext/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Y / PY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 xml:space="preserve">/ </w:t>
            </w:r>
            <w:r>
              <w:rPr>
                <w:rFonts w:cstheme="minorHAnsi"/>
                <w:color w:val="FF0000"/>
                <w:lang w:val="es-ES"/>
              </w:rPr>
              <w:t xml:space="preserve">PN / N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tr w14:paraId="7511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61720918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szCs w:val="20"/>
                <w:lang w:val="en-CA"/>
              </w:rPr>
              <w:t>2.6采用了何种分析方法来评估干预措施的实施效果？</w:t>
            </w:r>
          </w:p>
        </w:tc>
        <w:tc>
          <w:tcPr>
            <w:tcW w:w="7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ED3B6F5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1EBBA8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color w:val="00B050"/>
                <w:u w:val="single"/>
                <w:lang w:val="en-CA"/>
              </w:rPr>
              <w:t>Y / PY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FF0000"/>
                <w:lang w:val="en-CA"/>
              </w:rPr>
              <w:t xml:space="preserve">PN / N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6617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4C37C783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bookmarkStart w:id="1" w:name="_Hlk508661458"/>
            <w:r>
              <w:rPr>
                <w:rFonts w:hint="eastAsia"/>
                <w:b/>
                <w:szCs w:val="20"/>
                <w:lang w:val="en-CA"/>
              </w:rPr>
              <w:t>2.7如果N/PN/NI至2.6：未能分析随机分组的参与者，是否会对结果产生重大影响？</w:t>
            </w:r>
          </w:p>
        </w:tc>
        <w:tc>
          <w:tcPr>
            <w:tcW w:w="7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2EDCC6D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83149">
            <w:pPr>
              <w:keepNext/>
              <w:spacing w:after="0"/>
              <w:jc w:val="center"/>
              <w:rPr>
                <w:rFonts w:cstheme="minorHAnsi"/>
                <w:color w:val="00B050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>Y / PY</w:t>
            </w:r>
            <w:r>
              <w:rPr>
                <w:rFonts w:cstheme="minorHAnsi"/>
                <w:lang w:val="es-ES"/>
              </w:rPr>
              <w:t xml:space="preserve"> 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bookmarkEnd w:id="1"/>
      <w:tr w14:paraId="6BE6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345B1BF9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CA"/>
              </w:rPr>
              <w:t>偏倚风险评估</w:t>
            </w:r>
          </w:p>
        </w:tc>
        <w:tc>
          <w:tcPr>
            <w:tcW w:w="7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64CDE06">
            <w:pPr>
              <w:keepNext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E595A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Low / High / Some concerns</w:t>
            </w:r>
          </w:p>
        </w:tc>
      </w:tr>
      <w:tr w14:paraId="7872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4248" w:type="dxa"/>
            <w:tcBorders>
              <w:top w:val="single" w:color="D8D8D8" w:themeColor="background1" w:themeShade="D9" w:sz="2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193705B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lang w:val="en-CA"/>
              </w:rPr>
              <w:t>可选：因偏离预期干预措施，预测的偏差方向是什么？</w:t>
            </w:r>
          </w:p>
        </w:tc>
        <w:tc>
          <w:tcPr>
            <w:tcW w:w="7513" w:type="dxa"/>
            <w:tcBorders>
              <w:top w:val="single" w:color="D8D8D8" w:themeColor="background1" w:themeShade="D9" w:sz="2" w:space="0"/>
              <w:bottom w:val="single" w:color="auto" w:sz="4" w:space="0"/>
            </w:tcBorders>
            <w:shd w:val="clear" w:color="auto" w:fill="auto"/>
          </w:tcPr>
          <w:p w14:paraId="604A0F60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CB82F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NA / Favours experimental / Favours comparator / Towards null /Away from null / Unpredictable</w:t>
            </w:r>
          </w:p>
        </w:tc>
      </w:tr>
    </w:tbl>
    <w:p w14:paraId="540B4CDB">
      <w:pPr>
        <w:spacing w:after="160" w:line="259" w:lineRule="auto"/>
        <w:jc w:val="left"/>
        <w:rPr>
          <w:rFonts w:eastAsiaTheme="minorEastAsia"/>
          <w:color w:val="595959" w:themeColor="text1" w:themeTint="A6"/>
          <w:spacing w:val="1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br w:type="page"/>
      </w:r>
    </w:p>
    <w:p w14:paraId="50905808">
      <w:pPr>
        <w:pStyle w:val="6"/>
      </w:pPr>
      <w:r>
        <w:rPr>
          <w:rFonts w:hint="eastAsia"/>
        </w:rPr>
        <w:t>域3：缺失的结局数据</w:t>
      </w:r>
    </w:p>
    <w:tbl>
      <w:tblPr>
        <w:tblStyle w:val="9"/>
        <w:tblpPr w:leftFromText="180" w:rightFromText="180" w:vertAnchor="text" w:tblpX="108" w:tblpY="1"/>
        <w:tblOverlap w:val="never"/>
        <w:tblW w:w="14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7512"/>
        <w:gridCol w:w="2836"/>
      </w:tblGrid>
      <w:tr w14:paraId="6213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4C8E0904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Signalling questions</w:t>
            </w:r>
          </w:p>
        </w:tc>
        <w:tc>
          <w:tcPr>
            <w:tcW w:w="7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7FFCBDAF">
            <w:pPr>
              <w:keepNext/>
              <w:keepLines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Comments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E05DD9C">
            <w:pPr>
              <w:keepNext/>
              <w:spacing w:after="0"/>
              <w:jc w:val="center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Response options</w:t>
            </w:r>
          </w:p>
        </w:tc>
      </w:tr>
      <w:tr w14:paraId="2F4CB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2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1D64BB68">
            <w:pPr>
              <w:keepNext/>
              <w:spacing w:after="0"/>
              <w:jc w:val="left"/>
              <w:rPr>
                <w:rFonts w:cstheme="minorHAnsi"/>
                <w:b/>
                <w:lang w:val="en-CA"/>
              </w:rPr>
            </w:pPr>
            <w:bookmarkStart w:id="2" w:name="_Hlk516121468"/>
            <w:r>
              <w:rPr>
                <w:rFonts w:hint="eastAsia"/>
                <w:b/>
                <w:szCs w:val="20"/>
                <w:lang w:val="en-US"/>
              </w:rPr>
              <w:t>3.1该结果数据是否已向所有或几乎所有随机分组的参与者开放？</w:t>
            </w:r>
          </w:p>
        </w:tc>
        <w:tc>
          <w:tcPr>
            <w:tcW w:w="7512" w:type="dxa"/>
            <w:shd w:val="clear" w:color="auto" w:fill="auto"/>
          </w:tcPr>
          <w:p w14:paraId="3C765747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  <w:r>
              <w:rPr>
                <w:rFonts w:eastAsia="Times New Roman" w:cstheme="minorHAnsi"/>
                <w:lang w:val="en-CA"/>
              </w:rPr>
              <w:t xml:space="preserve"> </w:t>
            </w:r>
          </w:p>
        </w:tc>
        <w:tc>
          <w:tcPr>
            <w:tcW w:w="2836" w:type="dxa"/>
            <w:shd w:val="clear" w:color="auto" w:fill="auto"/>
          </w:tcPr>
          <w:p w14:paraId="22FF181C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color w:val="00B050"/>
                <w:u w:val="single"/>
                <w:lang w:val="en-CA"/>
              </w:rPr>
              <w:t>Y / PY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FF0000"/>
                <w:lang w:val="en-CA"/>
              </w:rPr>
              <w:t xml:space="preserve">PN / N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7EECE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2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2C3F98D6">
            <w:pPr>
              <w:keepNext/>
              <w:spacing w:after="0"/>
              <w:jc w:val="left"/>
              <w:rPr>
                <w:rFonts w:cstheme="minorHAnsi"/>
                <w:b/>
                <w:lang w:val="en-US"/>
              </w:rPr>
            </w:pPr>
            <w:r>
              <w:rPr>
                <w:rFonts w:hint="eastAsia"/>
                <w:b/>
                <w:szCs w:val="20"/>
                <w:lang w:val="en-US"/>
              </w:rPr>
              <w:t>3.2若N/PN/NI条款与3.1条款存在冲突：是否有证据表明缺失的结局数据未对结果造成偏倚？</w:t>
            </w:r>
          </w:p>
        </w:tc>
        <w:tc>
          <w:tcPr>
            <w:tcW w:w="7512" w:type="dxa"/>
            <w:shd w:val="clear" w:color="auto" w:fill="auto"/>
          </w:tcPr>
          <w:p w14:paraId="1ED71559">
            <w:pPr>
              <w:keepNext/>
              <w:rPr>
                <w:rFonts w:eastAsia="Times New Roman"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3C5AB560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 xml:space="preserve">NA 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Y / PY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FF0000"/>
                <w:lang w:val="en-CA"/>
              </w:rPr>
              <w:t>PN / N</w:t>
            </w:r>
          </w:p>
        </w:tc>
      </w:tr>
      <w:tr w14:paraId="374DC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9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6158CEFC">
            <w:pPr>
              <w:keepNext/>
              <w:spacing w:after="0"/>
              <w:jc w:val="left"/>
              <w:rPr>
                <w:rFonts w:cstheme="minorHAnsi"/>
                <w:b/>
                <w:lang w:val="en-US"/>
              </w:rPr>
            </w:pPr>
            <w:r>
              <w:rPr>
                <w:rFonts w:hint="eastAsia"/>
                <w:b/>
                <w:szCs w:val="20"/>
                <w:lang w:val="en-US"/>
              </w:rPr>
              <w:t>3.3若N/PN对应3.2项：结果缺失是否与其真实值相关？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27097663">
            <w:pPr>
              <w:keepNext/>
              <w:rPr>
                <w:rFonts w:eastAsia="Times New Roman"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310F6977">
            <w:pPr>
              <w:keepNext/>
              <w:spacing w:after="0"/>
              <w:jc w:val="center"/>
              <w:rPr>
                <w:rFonts w:cstheme="minorHAnsi"/>
                <w:color w:val="00B050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>Y / PY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FF0000"/>
                <w:u w:val="single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tr w14:paraId="3FD8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3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3F453674">
            <w:pPr>
              <w:keepNext/>
              <w:spacing w:after="0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szCs w:val="20"/>
                <w:lang w:val="en-US"/>
              </w:rPr>
              <w:t>3.4若Y/PY/NI与3.3项相关：结果缺失是否可能与其真实值相关？</w:t>
            </w:r>
          </w:p>
        </w:tc>
        <w:tc>
          <w:tcPr>
            <w:tcW w:w="7512" w:type="dxa"/>
            <w:vMerge w:val="continue"/>
            <w:shd w:val="clear" w:color="auto" w:fill="auto"/>
          </w:tcPr>
          <w:p w14:paraId="5D46C599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7F176707">
            <w:pPr>
              <w:keepNext/>
              <w:spacing w:after="0"/>
              <w:jc w:val="center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 xml:space="preserve">Y / PY </w:t>
            </w:r>
            <w:r>
              <w:rPr>
                <w:rFonts w:cstheme="minorHAnsi"/>
                <w:lang w:val="es-ES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bookmarkEnd w:id="2"/>
      <w:tr w14:paraId="5981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1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6FA75E6C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lang w:val="en-CA"/>
              </w:rPr>
            </w:pPr>
            <w:r>
              <w:rPr>
                <w:rFonts w:hint="eastAsia" w:cstheme="minorHAnsi"/>
                <w:b/>
                <w:lang w:val="en-CA"/>
              </w:rPr>
              <w:t>偏倚风险评估</w:t>
            </w:r>
          </w:p>
        </w:tc>
        <w:tc>
          <w:tcPr>
            <w:tcW w:w="7512" w:type="dxa"/>
            <w:shd w:val="clear" w:color="auto" w:fill="auto"/>
          </w:tcPr>
          <w:p w14:paraId="02DE4D20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254169B7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Low / High / Some concerns</w:t>
            </w:r>
          </w:p>
        </w:tc>
      </w:tr>
      <w:tr w14:paraId="52A9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547DB748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  <w:r>
              <w:rPr>
                <w:rFonts w:hint="eastAsia" w:cstheme="minorHAnsi"/>
                <w:lang w:val="en-CA"/>
              </w:rPr>
              <w:t>可选：缺失结果数据可能导致的偏倚方向预测结果是什么？</w:t>
            </w:r>
          </w:p>
        </w:tc>
        <w:tc>
          <w:tcPr>
            <w:tcW w:w="7512" w:type="dxa"/>
            <w:shd w:val="clear" w:color="auto" w:fill="auto"/>
          </w:tcPr>
          <w:p w14:paraId="75ED3579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28294783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NA / Favours experimental / Favours comparator / Towards null /Away from null / Unpredictable</w:t>
            </w:r>
          </w:p>
        </w:tc>
      </w:tr>
    </w:tbl>
    <w:p w14:paraId="41A6CB27">
      <w:pPr>
        <w:spacing w:after="200" w:line="276" w:lineRule="auto"/>
        <w:jc w:val="left"/>
        <w:rPr>
          <w:rFonts w:cstheme="minorHAnsi"/>
        </w:rPr>
      </w:pPr>
    </w:p>
    <w:p w14:paraId="36CC6C5D">
      <w:pPr>
        <w:spacing w:after="160" w:line="259" w:lineRule="auto"/>
        <w:jc w:val="left"/>
        <w:rPr>
          <w:rFonts w:eastAsiaTheme="minorEastAsia"/>
          <w:color w:val="595959" w:themeColor="text1" w:themeTint="A6"/>
          <w:spacing w:val="1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br w:type="page"/>
      </w:r>
    </w:p>
    <w:p w14:paraId="5B65F36A">
      <w:pPr>
        <w:pStyle w:val="6"/>
      </w:pPr>
      <w:r>
        <w:rPr>
          <w:rFonts w:hint="eastAsia"/>
        </w:rPr>
        <w:t>第4部分：结局测量的偏倚风险</w:t>
      </w:r>
    </w:p>
    <w:tbl>
      <w:tblPr>
        <w:tblStyle w:val="9"/>
        <w:tblpPr w:leftFromText="180" w:rightFromText="180" w:vertAnchor="text" w:tblpX="108" w:tblpY="1"/>
        <w:tblOverlap w:val="never"/>
        <w:tblW w:w="14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7512"/>
        <w:gridCol w:w="2836"/>
      </w:tblGrid>
      <w:tr w14:paraId="043B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71381C38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Signalling questions</w:t>
            </w:r>
          </w:p>
        </w:tc>
        <w:tc>
          <w:tcPr>
            <w:tcW w:w="7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109F9412">
            <w:pPr>
              <w:keepNext/>
              <w:keepLines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Comments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5500369A">
            <w:pPr>
              <w:keepNext/>
              <w:spacing w:after="0"/>
              <w:jc w:val="center"/>
              <w:rPr>
                <w:rFonts w:cstheme="minorHAnsi"/>
                <w:b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Response options</w:t>
            </w:r>
          </w:p>
        </w:tc>
      </w:tr>
      <w:tr w14:paraId="4331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0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7D2BFBA4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lang w:val="en-CA"/>
              </w:rPr>
              <w:t>4.1评估结果的方法是否不恰当？</w:t>
            </w:r>
          </w:p>
        </w:tc>
        <w:tc>
          <w:tcPr>
            <w:tcW w:w="7512" w:type="dxa"/>
            <w:shd w:val="clear" w:color="auto" w:fill="auto"/>
          </w:tcPr>
          <w:p w14:paraId="1B61CFBF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126B8DF5">
            <w:pPr>
              <w:keepNext/>
              <w:spacing w:after="0"/>
              <w:jc w:val="center"/>
              <w:rPr>
                <w:rFonts w:cstheme="minorHAnsi"/>
                <w:color w:val="FF0000"/>
                <w:lang w:val="en-CA"/>
              </w:rPr>
            </w:pPr>
            <w:r>
              <w:rPr>
                <w:rFonts w:cstheme="minorHAnsi"/>
                <w:color w:val="FF0000"/>
                <w:lang w:val="en-CA"/>
              </w:rPr>
              <w:t xml:space="preserve">Y / PY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PN / N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058F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64AC7C95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lang w:val="en-CA"/>
              </w:rPr>
              <w:t>4.2不同干预组在结果测量或判定方面是否存在差异？</w:t>
            </w:r>
          </w:p>
        </w:tc>
        <w:tc>
          <w:tcPr>
            <w:tcW w:w="7512" w:type="dxa"/>
            <w:shd w:val="clear" w:color="auto" w:fill="auto"/>
          </w:tcPr>
          <w:p w14:paraId="483456D1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1AF35EFA">
            <w:pPr>
              <w:keepNext/>
              <w:spacing w:after="0"/>
              <w:jc w:val="center"/>
              <w:rPr>
                <w:rFonts w:cstheme="minorHAnsi"/>
                <w:color w:val="FF0000"/>
                <w:lang w:val="en-CA"/>
              </w:rPr>
            </w:pPr>
            <w:r>
              <w:rPr>
                <w:rFonts w:cstheme="minorHAnsi"/>
                <w:color w:val="FF0000"/>
                <w:lang w:val="en-CA"/>
              </w:rPr>
              <w:t xml:space="preserve">Y / PY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PN / N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00132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69A8BB82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lang w:val="en-CA"/>
              </w:rPr>
              <w:t>4.3若涉及第4.1和4.2项的N/PN/NI条款：结果评估人员是否知晓研究参与者所接受的干预措施？</w:t>
            </w:r>
          </w:p>
        </w:tc>
        <w:tc>
          <w:tcPr>
            <w:tcW w:w="7512" w:type="dxa"/>
            <w:shd w:val="clear" w:color="auto" w:fill="auto"/>
          </w:tcPr>
          <w:p w14:paraId="092E4F3C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50A25E94">
            <w:pPr>
              <w:keepNext/>
              <w:spacing w:after="0"/>
              <w:jc w:val="center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 xml:space="preserve">Y / PY </w:t>
            </w:r>
            <w:r>
              <w:rPr>
                <w:rFonts w:cstheme="minorHAnsi"/>
                <w:lang w:val="es-ES"/>
              </w:rPr>
              <w:t xml:space="preserve">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tr w14:paraId="369F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7AAF8624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lang w:val="en-CA"/>
              </w:rPr>
              <w:t>4.4如果Y/PY/NI与4.3相关：对结果的评估是否可能受到所接受干预措施知识的影响？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3ABA118F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0F407398">
            <w:pPr>
              <w:keepNext/>
              <w:spacing w:after="0"/>
              <w:jc w:val="center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>Y / PY</w:t>
            </w:r>
            <w:r>
              <w:rPr>
                <w:rFonts w:cstheme="minorHAnsi"/>
                <w:lang w:val="es-ES"/>
              </w:rPr>
              <w:t xml:space="preserve"> 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tr w14:paraId="76B4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15F8C33A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/>
                <w:b/>
                <w:lang w:val="en-CA"/>
              </w:rPr>
              <w:t>4.5如果Y/PY/NI与4.4相关：评估结果是否可能受到所接受干预措施知识的影响？</w:t>
            </w:r>
          </w:p>
        </w:tc>
        <w:tc>
          <w:tcPr>
            <w:tcW w:w="7512" w:type="dxa"/>
            <w:vMerge w:val="continue"/>
            <w:shd w:val="clear" w:color="auto" w:fill="auto"/>
          </w:tcPr>
          <w:p w14:paraId="0366504E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072377B6">
            <w:pPr>
              <w:keepNext/>
              <w:spacing w:after="0"/>
              <w:jc w:val="center"/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NA / </w:t>
            </w:r>
            <w:r>
              <w:rPr>
                <w:rFonts w:cstheme="minorHAnsi"/>
                <w:color w:val="FF0000"/>
                <w:lang w:val="es-ES"/>
              </w:rPr>
              <w:t>Y / PY</w:t>
            </w:r>
            <w:r>
              <w:rPr>
                <w:rFonts w:cstheme="minorHAnsi"/>
                <w:lang w:val="es-ES"/>
              </w:rPr>
              <w:t xml:space="preserve"> / </w:t>
            </w:r>
            <w:r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>
              <w:rPr>
                <w:rFonts w:cstheme="minorHAnsi"/>
                <w:color w:val="00B050"/>
                <w:lang w:val="es-ES"/>
              </w:rPr>
              <w:t xml:space="preserve"> </w:t>
            </w:r>
            <w:r>
              <w:rPr>
                <w:rFonts w:cstheme="minorHAnsi"/>
                <w:lang w:val="es-ES"/>
              </w:rPr>
              <w:t>/ NI</w:t>
            </w:r>
          </w:p>
        </w:tc>
      </w:tr>
      <w:tr w14:paraId="2CA9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3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7BA88D7F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CA"/>
              </w:rPr>
              <w:t>偏倚风险评估</w:t>
            </w:r>
          </w:p>
        </w:tc>
        <w:tc>
          <w:tcPr>
            <w:tcW w:w="7512" w:type="dxa"/>
            <w:shd w:val="clear" w:color="auto" w:fill="auto"/>
          </w:tcPr>
          <w:p w14:paraId="0C494949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728D2AA4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Low / High / Some concerns</w:t>
            </w:r>
          </w:p>
        </w:tc>
      </w:tr>
      <w:tr w14:paraId="6941E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shd w:val="clear" w:color="auto" w:fill="D8D8D8" w:themeFill="background1" w:themeFillShade="D9"/>
          </w:tcPr>
          <w:p w14:paraId="093C19B0">
            <w:pPr>
              <w:keepNext/>
              <w:jc w:val="left"/>
              <w:rPr>
                <w:rFonts w:cstheme="minorHAnsi"/>
                <w:lang w:val="en-CA"/>
              </w:rPr>
            </w:pPr>
            <w:r>
              <w:rPr>
                <w:rFonts w:hint="eastAsia" w:cstheme="minorHAnsi"/>
                <w:lang w:val="en-CA"/>
              </w:rPr>
              <w:t>可选：在结果测量中，预测的偏差方向是什么？</w:t>
            </w:r>
          </w:p>
        </w:tc>
        <w:tc>
          <w:tcPr>
            <w:tcW w:w="7512" w:type="dxa"/>
            <w:shd w:val="clear" w:color="auto" w:fill="auto"/>
          </w:tcPr>
          <w:p w14:paraId="61B2250A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shd w:val="clear" w:color="auto" w:fill="auto"/>
          </w:tcPr>
          <w:p w14:paraId="0A43E201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NA / Favours experimental / Favours comparator / Towards null /Away from null / Unpredictable</w:t>
            </w:r>
          </w:p>
        </w:tc>
      </w:tr>
    </w:tbl>
    <w:p w14:paraId="212EBC8C">
      <w:pPr>
        <w:pStyle w:val="6"/>
      </w:pPr>
    </w:p>
    <w:p w14:paraId="190417A3">
      <w:pPr>
        <w:rPr>
          <w:rFonts w:eastAsiaTheme="minorEastAsia"/>
          <w:color w:val="595959" w:themeColor="text1" w:themeTint="A6"/>
          <w:spacing w:val="1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br w:type="page"/>
      </w:r>
    </w:p>
    <w:p w14:paraId="4D0B7459">
      <w:pPr>
        <w:pStyle w:val="6"/>
      </w:pPr>
      <w:r>
        <w:rPr>
          <w:rFonts w:hint="eastAsia"/>
        </w:rPr>
        <w:t>第5部分：报告结果选择的偏倚风险</w:t>
      </w:r>
    </w:p>
    <w:tbl>
      <w:tblPr>
        <w:tblStyle w:val="9"/>
        <w:tblpPr w:leftFromText="180" w:rightFromText="180" w:vertAnchor="text" w:tblpX="108" w:tblpY="1"/>
        <w:tblOverlap w:val="never"/>
        <w:tblW w:w="14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7512"/>
        <w:gridCol w:w="2836"/>
      </w:tblGrid>
      <w:tr w14:paraId="0286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D8D8D8" w:themeFill="background1" w:themeFillShade="D9"/>
          </w:tcPr>
          <w:p w14:paraId="4B7B53A5">
            <w:pPr>
              <w:keepNext/>
              <w:jc w:val="left"/>
              <w:rPr>
                <w:rFonts w:cstheme="minorHAnsi"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Signalling questions</w:t>
            </w:r>
          </w:p>
        </w:tc>
        <w:tc>
          <w:tcPr>
            <w:tcW w:w="7512" w:type="dxa"/>
            <w:tcBorders>
              <w:top w:val="single" w:color="auto" w:sz="4" w:space="0"/>
              <w:bottom w:val="nil"/>
            </w:tcBorders>
            <w:shd w:val="clear" w:color="auto" w:fill="D8D8D8" w:themeFill="background1" w:themeFillShade="D9"/>
          </w:tcPr>
          <w:p w14:paraId="5544CE8F">
            <w:pPr>
              <w:keepNext/>
              <w:jc w:val="left"/>
              <w:rPr>
                <w:rFonts w:cstheme="minorHAnsi"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Comments</w:t>
            </w:r>
          </w:p>
        </w:tc>
        <w:tc>
          <w:tcPr>
            <w:tcW w:w="2836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D8D8D8" w:themeFill="background1" w:themeFillShade="D9"/>
          </w:tcPr>
          <w:p w14:paraId="4BB53A30">
            <w:pPr>
              <w:keepNext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b/>
                <w:lang w:val="en-CA"/>
              </w:rPr>
              <w:t>Response options</w:t>
            </w:r>
          </w:p>
        </w:tc>
      </w:tr>
      <w:tr w14:paraId="320C6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6BFBD709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US"/>
              </w:rPr>
              <w:t>5.1生成该结果的数据是否按照预先制定的分析计划进行分析？</w:t>
            </w:r>
            <w:bookmarkStart w:id="3" w:name="_GoBack"/>
            <w:bookmarkEnd w:id="3"/>
            <w:r>
              <w:rPr>
                <w:rFonts w:hint="eastAsia" w:cstheme="minorHAnsi"/>
                <w:b/>
                <w:lang w:val="en-US"/>
              </w:rPr>
              <w:t>该计划是否在未设盲结果数据可供分析前就已最终确定？</w:t>
            </w:r>
          </w:p>
        </w:tc>
        <w:tc>
          <w:tcPr>
            <w:tcW w:w="7512" w:type="dxa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37755D66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CD677">
            <w:pPr>
              <w:keepNext/>
              <w:jc w:val="center"/>
              <w:rPr>
                <w:rFonts w:cstheme="minorHAnsi"/>
                <w:color w:val="FF0000"/>
                <w:lang w:val="en-CA"/>
              </w:rPr>
            </w:pPr>
            <w:r>
              <w:rPr>
                <w:rFonts w:cstheme="minorHAnsi"/>
                <w:color w:val="00B050"/>
                <w:u w:val="single"/>
                <w:lang w:val="en-CA"/>
              </w:rPr>
              <w:t>Y / PY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 xml:space="preserve">/ </w:t>
            </w:r>
            <w:r>
              <w:rPr>
                <w:rFonts w:cstheme="minorHAnsi"/>
                <w:color w:val="FF0000"/>
                <w:lang w:val="en-CA"/>
              </w:rPr>
              <w:t xml:space="preserve">PN / N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3175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D8D8D8" w:themeColor="background1" w:themeShade="D9" w:sz="2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20D287F2">
            <w:pPr>
              <w:keepNext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US"/>
              </w:rPr>
              <w:t>根据结果，所评估的数值结果是否可能已从...中被选择。</w:t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</w:tcPr>
          <w:p w14:paraId="47B62515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31B96C20">
            <w:pPr>
              <w:keepNext/>
              <w:jc w:val="center"/>
              <w:rPr>
                <w:rFonts w:cstheme="minorHAnsi"/>
                <w:color w:val="FF0000"/>
                <w:lang w:val="en-CA"/>
              </w:rPr>
            </w:pPr>
          </w:p>
        </w:tc>
      </w:tr>
      <w:tr w14:paraId="1706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5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0E0A7570">
            <w:pPr>
              <w:keepNext/>
              <w:ind w:left="317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US"/>
              </w:rPr>
              <w:t>5.2....结果领域内是否包含多个合格的结局测量指标（例如量表、定义、时间点）？</w:t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4248022F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89D43">
            <w:pPr>
              <w:keepNext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color w:val="FF0000"/>
                <w:lang w:val="en-CA"/>
              </w:rPr>
              <w:t>Y / PY</w:t>
            </w:r>
            <w:r>
              <w:rPr>
                <w:rFonts w:cstheme="minorHAnsi"/>
                <w:lang w:val="en-CA"/>
              </w:rPr>
              <w:t xml:space="preserve"> 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PN / N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57CD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1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5DF4FB01">
            <w:pPr>
              <w:keepNext/>
              <w:ind w:left="317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US"/>
              </w:rPr>
              <w:t>5.3...是否对数据进行了多次合格分析？</w:t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A4E41B6">
            <w:pPr>
              <w:keepNext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BAF9E">
            <w:pPr>
              <w:keepNext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color w:val="FF0000"/>
                <w:lang w:val="en-CA"/>
              </w:rPr>
              <w:t>Y / PY</w:t>
            </w:r>
            <w:r>
              <w:rPr>
                <w:rFonts w:cstheme="minorHAnsi"/>
                <w:lang w:val="en-CA"/>
              </w:rPr>
              <w:t xml:space="preserve"> / </w:t>
            </w:r>
            <w:r>
              <w:rPr>
                <w:rFonts w:cstheme="minorHAnsi"/>
                <w:color w:val="00B050"/>
                <w:u w:val="single"/>
                <w:lang w:val="en-CA"/>
              </w:rPr>
              <w:t>PN / N</w:t>
            </w:r>
            <w:r>
              <w:rPr>
                <w:rFonts w:cstheme="minorHAnsi"/>
                <w:color w:val="00B050"/>
                <w:lang w:val="en-CA"/>
              </w:rPr>
              <w:t xml:space="preserve"> </w:t>
            </w:r>
            <w:r>
              <w:rPr>
                <w:rFonts w:cstheme="minorHAnsi"/>
                <w:lang w:val="en-CA"/>
              </w:rPr>
              <w:t>/ NI</w:t>
            </w:r>
          </w:p>
        </w:tc>
      </w:tr>
      <w:tr w14:paraId="7ADF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7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751229B2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CA"/>
              </w:rPr>
              <w:t>偏倚风险评估</w:t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54D6904B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A6630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Low / High / Some concerns</w:t>
            </w:r>
          </w:p>
        </w:tc>
      </w:tr>
      <w:tr w14:paraId="6200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5997C475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  <w:r>
              <w:rPr>
                <w:rFonts w:hint="eastAsia" w:cstheme="minorHAnsi"/>
                <w:lang w:val="en-CA"/>
              </w:rPr>
              <w:t>可选：根据报告结果的选择，预测的偏倚方向是什么？</w:t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E58ACAC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83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5191B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NA / Favours experimental / Favours comparator / Towards null /Away from null / Unpredictable</w:t>
            </w:r>
          </w:p>
        </w:tc>
      </w:tr>
    </w:tbl>
    <w:p w14:paraId="54BA47BE">
      <w:pPr>
        <w:rPr>
          <w:rFonts w:cstheme="minorHAnsi"/>
        </w:rPr>
      </w:pPr>
    </w:p>
    <w:p w14:paraId="095F2882">
      <w:pPr>
        <w:spacing w:after="160" w:line="259" w:lineRule="auto"/>
        <w:jc w:val="left"/>
        <w:rPr>
          <w:rFonts w:eastAsiaTheme="minorEastAsia"/>
          <w:color w:val="595959" w:themeColor="text1" w:themeTint="A6"/>
          <w:spacing w:val="15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br w:type="page"/>
      </w:r>
    </w:p>
    <w:p w14:paraId="22A1A698">
      <w:pPr>
        <w:pStyle w:val="6"/>
      </w:pPr>
      <w:r>
        <w:t xml:space="preserve">Overall risk of bias </w:t>
      </w:r>
    </w:p>
    <w:tbl>
      <w:tblPr>
        <w:tblStyle w:val="9"/>
        <w:tblpPr w:leftFromText="180" w:rightFromText="180" w:vertAnchor="text" w:tblpX="108" w:tblpY="1"/>
        <w:tblOverlap w:val="never"/>
        <w:tblW w:w="143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7512"/>
        <w:gridCol w:w="2552"/>
      </w:tblGrid>
      <w:tr w14:paraId="7648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</w:tblPrEx>
        <w:trPr>
          <w:cantSplit/>
          <w:trHeight w:val="1407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2E80E4DE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b/>
                <w:lang w:val="en-CA"/>
              </w:rPr>
            </w:pPr>
            <w:r>
              <w:rPr>
                <w:rFonts w:hint="eastAsia" w:cstheme="minorHAnsi"/>
                <w:b/>
                <w:lang w:val="en-CA"/>
              </w:rPr>
              <w:t>偏倚风险评估</w:t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1D8F5B6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71186">
            <w:pPr>
              <w:keepNext/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Low / High / Some concerns</w:t>
            </w:r>
          </w:p>
        </w:tc>
      </w:tr>
      <w:tr w14:paraId="70BB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</w:trPr>
        <w:tc>
          <w:tcPr>
            <w:tcW w:w="424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 w14:paraId="43B418C3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  <w:r>
              <w:rPr>
                <w:rFonts w:hint="eastAsia" w:cstheme="minorHAnsi"/>
                <w:lang w:val="en-CA"/>
              </w:rPr>
              <w:t>可选：该结果的预测偏差总体方向如何？</w:t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F26BEB0">
            <w:pPr>
              <w:keepNext/>
              <w:spacing w:after="0"/>
              <w:jc w:val="left"/>
              <w:rPr>
                <w:rFonts w:cstheme="minorHAnsi"/>
                <w:lang w:val="en-CA"/>
              </w:rPr>
            </w:pP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E5B93">
            <w:pPr>
              <w:keepNext/>
              <w:spacing w:after="0"/>
              <w:jc w:val="center"/>
              <w:rPr>
                <w:rFonts w:cstheme="minorHAnsi"/>
                <w:lang w:val="en-CA"/>
              </w:rPr>
            </w:pPr>
            <w:r>
              <w:rPr>
                <w:rFonts w:cstheme="minorHAnsi"/>
                <w:lang w:val="en-CA"/>
              </w:rPr>
              <w:t>NA / Favours experimental / Favours comparator / Towards null /Away from null / Unpredictable</w:t>
            </w:r>
          </w:p>
        </w:tc>
      </w:tr>
    </w:tbl>
    <w:p w14:paraId="21E33E42">
      <w:pPr>
        <w:rPr>
          <w:rFonts w:cstheme="minorHAnsi"/>
        </w:rPr>
      </w:pPr>
    </w:p>
    <w:p w14:paraId="48C728C3">
      <w:pPr>
        <w:rPr>
          <w:rFonts w:cstheme="minorHAnsi"/>
        </w:rPr>
      </w:pPr>
    </w:p>
    <w:sdt>
      <w:sdtPr>
        <w:alias w:val="Creative Commons License"/>
        <w:tag w:val="Creative Commons License"/>
        <w:id w:val="-167177601"/>
        <w:lock w:val="contentLocked"/>
        <w:placeholder>
          <w:docPart w:val="9C3F39B18ACD4B3AB7740F6C6B58871B"/>
        </w:placeholder>
      </w:sdtPr>
      <w:sdtContent>
        <w:p w14:paraId="78204888">
          <w:r>
            <w:drawing>
              <wp:inline distT="0" distB="0" distL="0" distR="0">
                <wp:extent cx="809625" cy="266700"/>
                <wp:effectExtent l="0" t="0" r="9525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CB71A3F">
          <w:r>
            <w:t xml:space="preserve">This work is licensed under a </w:t>
          </w:r>
          <w:r>
            <w:fldChar w:fldCharType="begin"/>
          </w:r>
          <w:r>
            <w:instrText xml:space="preserve"> HYPERLINK "http://creativecommons.org/licenses/by-nc-nd/4.0/" </w:instrText>
          </w:r>
          <w:r>
            <w:fldChar w:fldCharType="separate"/>
          </w:r>
          <w:r>
            <w:rPr>
              <w:rStyle w:val="12"/>
            </w:rPr>
            <w:t>Creative Commons Attribution-NonCommercial-NoDerivatives 4.0 International License</w:t>
          </w:r>
          <w:r>
            <w:rPr>
              <w:rStyle w:val="12"/>
            </w:rPr>
            <w:fldChar w:fldCharType="end"/>
          </w:r>
          <w:r>
            <w:t>.</w:t>
          </w:r>
        </w:p>
      </w:sdtContent>
    </w:sdt>
    <w:sectPr>
      <w:pgSz w:w="16838" w:h="11906" w:orient="landscape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1F"/>
    <w:rsid w:val="00014782"/>
    <w:rsid w:val="000722D3"/>
    <w:rsid w:val="00076212"/>
    <w:rsid w:val="000A490D"/>
    <w:rsid w:val="000F57E8"/>
    <w:rsid w:val="0023251F"/>
    <w:rsid w:val="002F78AD"/>
    <w:rsid w:val="003373FE"/>
    <w:rsid w:val="003414A1"/>
    <w:rsid w:val="00341861"/>
    <w:rsid w:val="003B36FC"/>
    <w:rsid w:val="003C2F57"/>
    <w:rsid w:val="003C3813"/>
    <w:rsid w:val="00405A6D"/>
    <w:rsid w:val="00420E6C"/>
    <w:rsid w:val="004B666A"/>
    <w:rsid w:val="00507ECD"/>
    <w:rsid w:val="00541655"/>
    <w:rsid w:val="00584878"/>
    <w:rsid w:val="005909E4"/>
    <w:rsid w:val="00626CD4"/>
    <w:rsid w:val="006B1069"/>
    <w:rsid w:val="00730D7D"/>
    <w:rsid w:val="0079530F"/>
    <w:rsid w:val="007A6F9B"/>
    <w:rsid w:val="008509C5"/>
    <w:rsid w:val="00851D4D"/>
    <w:rsid w:val="00871668"/>
    <w:rsid w:val="00895457"/>
    <w:rsid w:val="008C7515"/>
    <w:rsid w:val="00966081"/>
    <w:rsid w:val="009D036C"/>
    <w:rsid w:val="00A027FC"/>
    <w:rsid w:val="00B02401"/>
    <w:rsid w:val="00B34EF8"/>
    <w:rsid w:val="00B64463"/>
    <w:rsid w:val="00B666A7"/>
    <w:rsid w:val="00BB74E2"/>
    <w:rsid w:val="00BE49FF"/>
    <w:rsid w:val="00C006C7"/>
    <w:rsid w:val="00C153C1"/>
    <w:rsid w:val="00CA084F"/>
    <w:rsid w:val="00CF5BDC"/>
    <w:rsid w:val="00DE283D"/>
    <w:rsid w:val="00E677C1"/>
    <w:rsid w:val="00F41673"/>
    <w:rsid w:val="00FC67F1"/>
    <w:rsid w:val="00FC6EFE"/>
    <w:rsid w:val="00FE0B54"/>
    <w:rsid w:val="455E1CEB"/>
    <w:rsid w:val="5859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  <w:jc w:val="both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keepNext/>
      <w:spacing w:after="200"/>
      <w:jc w:val="left"/>
    </w:pPr>
    <w:rPr>
      <w:b/>
      <w:bCs/>
      <w:szCs w:val="18"/>
    </w:rPr>
  </w:style>
  <w:style w:type="paragraph" w:styleId="5">
    <w:name w:val="Balloon Text"/>
    <w:basedOn w:val="1"/>
    <w:link w:val="17"/>
    <w:semiHidden/>
    <w:unhideWhenUsed/>
    <w:qFormat/>
    <w:uiPriority w:val="99"/>
    <w:pPr>
      <w:spacing w:after="0"/>
    </w:pPr>
    <w:rPr>
      <w:rFonts w:ascii="Segoe UI" w:hAnsi="Segoe UI" w:cs="Segoe UI"/>
      <w:sz w:val="18"/>
      <w:szCs w:val="18"/>
    </w:rPr>
  </w:style>
  <w:style w:type="paragraph" w:styleId="6">
    <w:name w:val="Subtitle"/>
    <w:basedOn w:val="1"/>
    <w:next w:val="1"/>
    <w:link w:val="15"/>
    <w:qFormat/>
    <w:uiPriority w:val="11"/>
    <w:rPr>
      <w:rFonts w:eastAsiaTheme="minorEastAsia"/>
      <w:color w:val="595959" w:themeColor="text1" w:themeTint="A6"/>
      <w:spacing w:val="15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Title"/>
    <w:basedOn w:val="1"/>
    <w:next w:val="1"/>
    <w:link w:val="16"/>
    <w:qFormat/>
    <w:uiPriority w:val="10"/>
    <w:pPr>
      <w:spacing w:after="300"/>
      <w:contextualSpacing/>
      <w:jc w:val="center"/>
    </w:pPr>
    <w:rPr>
      <w:rFonts w:asciiTheme="majorHAnsi" w:hAnsiTheme="majorHAnsi" w:eastAsiaTheme="majorEastAsia" w:cstheme="majorBidi"/>
      <w:spacing w:val="5"/>
      <w:kern w:val="28"/>
      <w:sz w:val="32"/>
      <w:szCs w:val="52"/>
    </w:rPr>
  </w:style>
  <w:style w:type="table" w:styleId="9">
    <w:name w:val="Table Grid"/>
    <w:basedOn w:val="8"/>
    <w:qFormat/>
    <w:uiPriority w:val="59"/>
    <w:pPr>
      <w:keepNext/>
      <w:spacing w:after="0" w:line="240" w:lineRule="auto"/>
    </w:pPr>
    <w:rPr>
      <w:lang w:val="en-C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List Paragraph"/>
    <w:basedOn w:val="1"/>
    <w:qFormat/>
    <w:uiPriority w:val="34"/>
    <w:pPr>
      <w:ind w:left="720"/>
      <w:contextualSpacing/>
    </w:pPr>
    <w:rPr>
      <w:rFonts w:eastAsia="Calibri" w:cs="Times New Roman"/>
    </w:rPr>
  </w:style>
  <w:style w:type="character" w:customStyle="1" w:styleId="14">
    <w:name w:val="Heading 1 Char"/>
    <w:basedOn w:val="10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5">
    <w:name w:val="Subtitle Char"/>
    <w:basedOn w:val="10"/>
    <w:link w:val="6"/>
    <w:qFormat/>
    <w:uiPriority w:val="11"/>
    <w:rPr>
      <w:rFonts w:eastAsiaTheme="minorEastAsia"/>
      <w:color w:val="595959" w:themeColor="text1" w:themeTint="A6"/>
      <w:spacing w:val="15"/>
      <w:sz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Title Char"/>
    <w:basedOn w:val="10"/>
    <w:link w:val="7"/>
    <w:uiPriority w:val="10"/>
    <w:rPr>
      <w:rFonts w:asciiTheme="majorHAnsi" w:hAnsiTheme="majorHAnsi" w:eastAsiaTheme="majorEastAsia" w:cstheme="majorBidi"/>
      <w:spacing w:val="5"/>
      <w:kern w:val="28"/>
      <w:sz w:val="32"/>
      <w:szCs w:val="52"/>
    </w:rPr>
  </w:style>
  <w:style w:type="character" w:customStyle="1" w:styleId="17">
    <w:name w:val="Balloon Text Char"/>
    <w:basedOn w:val="10"/>
    <w:link w:val="5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8">
    <w:name w:val="Heading 2 Char"/>
    <w:basedOn w:val="1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8BD19B0230F4C1998F8034D193A9F8D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E3A556-102B-4BC7-A998-F5008C944901}"/>
      </w:docPartPr>
      <w:docPartBody>
        <w:p w14:paraId="6AFDFBB2">
          <w:pPr>
            <w:pStyle w:val="5"/>
          </w:pPr>
          <w:r>
            <w:rPr>
              <w:rStyle w:val="4"/>
            </w:rPr>
            <w:t>Click here to enter text.</w:t>
          </w:r>
        </w:p>
      </w:docPartBody>
    </w:docPart>
    <w:docPart>
      <w:docPartPr>
        <w:name w:val="9C3F39B18ACD4B3AB7740F6C6B58871B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9CF2198-2696-4C3A-9A94-67C0E7C4C7DB}"/>
      </w:docPartPr>
      <w:docPartBody>
        <w:p w14:paraId="53E93CB5">
          <w:pPr>
            <w:pStyle w:val="6"/>
          </w:pPr>
          <w:r>
            <w:rPr>
              <w:rStyle w:val="4"/>
            </w:rPr>
            <w:t>Click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4A7"/>
    <w:rsid w:val="003E0B56"/>
    <w:rsid w:val="00767319"/>
    <w:rsid w:val="007B54A7"/>
    <w:rsid w:val="0095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58BD19B0230F4C1998F8034D193A9F8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  <w:style w:type="paragraph" w:customStyle="1" w:styleId="6">
    <w:name w:val="9C3F39B18ACD4B3AB7740F6C6B58871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1544</Words>
  <Characters>7514</Characters>
  <Lines>184</Lines>
  <Paragraphs>76</Paragraphs>
  <TotalTime>130</TotalTime>
  <ScaleCrop>false</ScaleCrop>
  <LinksUpToDate>false</LinksUpToDate>
  <CharactersWithSpaces>8908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2019-07-09T08:37:00Z</dcterms:created>
  <dc:creator>Alexandra McAleenan</dc:creator>
  <cp:lastModifiedBy>回忆与思考</cp:lastModifiedBy>
  <dcterms:modified xsi:type="dcterms:W3CDTF">2025-11-02T13:59:48Z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eyJoZGlkIjoiMWY1MTg2ODZiMjZmZTI4MjI5OWM5YjFiMTk2OTkzNTMiLCJ1c2VySWQiOiIxNjA3NDkxOTE5In0=</vt:lpwstr>
  </property>
  <property fmtid="{D5CDD505-2E9C-101B-9397-08002B2CF9AE}" pid="3" name="KSOProductBuildVer">
    <vt:lpwstr>2052-12.1.0.23542</vt:lpwstr>
  </property>
  <property fmtid="{D5CDD505-2E9C-101B-9397-08002B2CF9AE}" pid="4" name="ICV">
    <vt:lpwstr>EC044721F62546A2968F2D1F0BAA0233_13</vt:lpwstr>
  </property>
</Properties>
</file>