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6DB5BC">
      <w:r>
        <w:drawing>
          <wp:inline distT="0" distB="0" distL="114300" distR="114300">
            <wp:extent cx="5273040" cy="4876165"/>
            <wp:effectExtent l="0" t="0" r="381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3040" cy="4876165"/>
                    </a:xfrm>
                    <a:prstGeom prst="rect">
                      <a:avLst/>
                    </a:prstGeom>
                    <a:noFill/>
                    <a:ln>
                      <a:noFill/>
                    </a:ln>
                  </pic:spPr>
                </pic:pic>
              </a:graphicData>
            </a:graphic>
          </wp:inline>
        </w:drawing>
      </w:r>
    </w:p>
    <w:p w14:paraId="25E0485F">
      <w:pPr>
        <w:widowControl w:val="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1. 研究基本信息</w:t>
      </w:r>
    </w:p>
    <w:p w14:paraId="6D7A0BFB">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Number of studies: k = 17</w:t>
      </w:r>
    </w:p>
    <w:p w14:paraId="70558601">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共纳入 17 项独立研究。</w:t>
      </w:r>
    </w:p>
    <w:p w14:paraId="034F76C1">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Number of observations: o = 2193</w:t>
      </w:r>
    </w:p>
    <w:p w14:paraId="49D95867">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总样本量为 2193 名参与者。</w:t>
      </w:r>
    </w:p>
    <w:p w14:paraId="5BE1BD6C">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o.e = 1105：实验组（experimental group）人数。</w:t>
      </w:r>
    </w:p>
    <w:p w14:paraId="7336704F">
      <w:pPr>
        <w:widowControl w:val="0"/>
        <w:ind w:left="0" w:leftChars="0" w:firstLine="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o.c = 1088：对照组（control group）人数。</w:t>
      </w:r>
    </w:p>
    <w:p w14:paraId="62BCD454">
      <w:pPr>
        <w:widowControl w:val="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2. 效应量汇总结果</w:t>
      </w:r>
    </w:p>
    <w:p w14:paraId="53F82C00">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Common effect model（固定效应模型）</w:t>
      </w:r>
    </w:p>
    <w:p w14:paraId="6AAFCE2C">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SMD = 0.2495</w:t>
      </w:r>
    </w:p>
    <w:p w14:paraId="4982A0BF">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标准化均差为 0.2495，表示实验组比对照组平均高出约 0.25 个标准差。</w:t>
      </w:r>
    </w:p>
    <w:p w14:paraId="75DF58A6">
      <w:pPr>
        <w:ind w:leftChars="0"/>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95%-CI: [0.1644; 0.3346]</w:t>
      </w:r>
    </w:p>
    <w:p w14:paraId="2E8B0AED">
      <w:pPr>
        <w:widowControl w:val="0"/>
        <w:ind w:left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置信区间不包含 0，说明效应显著。</w:t>
      </w:r>
    </w:p>
    <w:p w14:paraId="0313BB8B">
      <w:pPr>
        <w:widowControl w:val="0"/>
        <w:ind w:left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z = 5.75, p &lt; 0.0001</w:t>
      </w:r>
    </w:p>
    <w:p w14:paraId="5E2EB239">
      <w:pPr>
        <w:widowControl w:val="0"/>
        <w:ind w:left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统计检验显著，表明效应量不为零。</w:t>
      </w:r>
    </w:p>
    <w:p w14:paraId="53D1192A">
      <w:pPr>
        <w:widowControl w:val="0"/>
        <w:ind w:left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Random effects model（随机效应模型）</w:t>
      </w:r>
    </w:p>
    <w:p w14:paraId="3AFDB008">
      <w:pPr>
        <w:widowControl w:val="0"/>
        <w:ind w:left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SMD = 0.5581</w:t>
      </w:r>
    </w:p>
    <w:p w14:paraId="64C6846D">
      <w:pPr>
        <w:widowControl w:val="0"/>
        <w:ind w:left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效应量比固定效应模型更大，说明考虑研究间异质性后，效应更强。</w:t>
      </w:r>
    </w:p>
    <w:p w14:paraId="11E75D34">
      <w:pPr>
        <w:ind w:leftChars="0"/>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95%-CI: [0.2158; 0.9005]</w:t>
      </w:r>
    </w:p>
    <w:p w14:paraId="3EEBE0BB">
      <w:pPr>
        <w:widowControl w:val="0"/>
        <w:ind w:left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置信区间更宽，说明估计更保守，不确定性更大。</w:t>
      </w:r>
    </w:p>
    <w:p w14:paraId="75435328">
      <w:pPr>
        <w:widowControl w:val="0"/>
        <w:ind w:left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z = 3.20, p = 0.0014</w:t>
      </w:r>
    </w:p>
    <w:p w14:paraId="2F6073A9">
      <w:pPr>
        <w:widowControl w:val="0"/>
        <w:ind w:left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效应仍然显著。</w:t>
      </w:r>
    </w:p>
    <w:p w14:paraId="4982842E">
      <w:pPr>
        <w:widowControl w:val="0"/>
        <w:ind w:left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 固定 vs. 随机效应模型：</w:t>
      </w:r>
    </w:p>
    <w:p w14:paraId="32ACFE06">
      <w:pPr>
        <w:widowControl w:val="0"/>
        <w:ind w:left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固定效应假设所有研究来自同一总体；随机效应允许研究间存在差异，通常更符合实际情况。</w:t>
      </w:r>
    </w:p>
    <w:p w14:paraId="0AE182E9">
      <w:pPr>
        <w:widowControl w:val="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3. 异质性分析</w:t>
      </w:r>
    </w:p>
    <w:p w14:paraId="6935F0E8">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Quantifying heterogeneity</w:t>
      </w:r>
    </w:p>
    <w:p w14:paraId="175C337A">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tau² = 0.4404</w:t>
      </w:r>
    </w:p>
    <w:p w14:paraId="506937B4">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研究间真实效应量的方差估计值，值越大表示异质性越高。</w:t>
      </w:r>
    </w:p>
    <w:p w14:paraId="0352CAC4">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tau = 0.6636</w:t>
      </w:r>
    </w:p>
    <w:p w14:paraId="3B4FF555">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tau² 的平方根，表示研究间效应量的标准差。</w:t>
      </w:r>
    </w:p>
    <w:p w14:paraId="3819ECF1">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I² = 78.0%</w:t>
      </w:r>
    </w:p>
    <w:p w14:paraId="56FE304E">
      <w:pPr>
        <w:ind w:leftChars="0"/>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78% 的效应量变异可由研究间异质性解释（而非抽样误差）。一般认为：</w:t>
      </w:r>
    </w:p>
    <w:p w14:paraId="34BE790C">
      <w:pPr>
        <w:widowControl w:val="0"/>
        <w:ind w:left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25%：低异质性</w:t>
      </w:r>
    </w:p>
    <w:p w14:paraId="346A668D">
      <w:pPr>
        <w:widowControl w:val="0"/>
        <w:ind w:left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50%：中等</w:t>
      </w:r>
    </w:p>
    <w:p w14:paraId="32F3C40F">
      <w:pPr>
        <w:ind w:leftChars="0"/>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75%：高异质性</w:t>
      </w:r>
    </w:p>
    <w:p w14:paraId="11239465">
      <w:pPr>
        <w:widowControl w:val="0"/>
        <w:ind w:left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H = 2.13</w:t>
      </w:r>
    </w:p>
    <w:p w14:paraId="22941277">
      <w:pPr>
        <w:widowControl w:val="0"/>
        <w:ind w:left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异质性指数，H &gt; 1 表示存在异质性。</w:t>
      </w:r>
    </w:p>
    <w:p w14:paraId="3F20438E">
      <w:pPr>
        <w:widowControl w:val="0"/>
        <w:ind w:left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Test of heterogeneity</w:t>
      </w:r>
    </w:p>
    <w:p w14:paraId="16ADF6C9">
      <w:pPr>
        <w:widowControl w:val="0"/>
        <w:ind w:left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Q = 72.80, df = 16, p &lt; 0.0001</w:t>
      </w:r>
    </w:p>
    <w:p w14:paraId="4D5FC2DE">
      <w:pPr>
        <w:widowControl w:val="0"/>
        <w:ind w:left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Q 检验显著，说明研究间存在显著异质性，支持使用随机效应模型。</w:t>
      </w:r>
    </w:p>
    <w:p w14:paraId="446394A5">
      <w:pPr>
        <w:widowControl w:val="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4. 元分析方法细节</w:t>
      </w:r>
    </w:p>
    <w:p w14:paraId="08622BE4">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Inverse variance method：使用逆方差法加权各研究。</w:t>
      </w:r>
    </w:p>
    <w:p w14:paraId="54F363CA">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Restricted maximum-likelihood estimator for tau²：使用限制最大似然法估计异质性方差。</w:t>
      </w:r>
    </w:p>
    <w:p w14:paraId="156679F9">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Q-Profile method：用于计算 tau² 和 tau 的置信区间。</w:t>
      </w:r>
    </w:p>
    <w:p w14:paraId="21B5B1F8">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Calculation of I² based on Q：I² 基于 Q 统计量计算。</w:t>
      </w:r>
    </w:p>
    <w:p w14:paraId="1CB533F6">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Hedges’ g：使用 Hedges’ g 作为效应量指标，它是标准化均差的一种，对小样本偏差进行了校正。</w:t>
      </w:r>
    </w:p>
    <w:p w14:paraId="00D76504">
      <w:pPr>
        <w:widowControl w:val="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总结</w:t>
      </w:r>
    </w:p>
    <w:p w14:paraId="7C33826C">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这项元分析纳入 17 项研究，总样本 2193 人。</w:t>
      </w:r>
    </w:p>
    <w:p w14:paraId="574A002B">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整体效应显著（无论是固定还是随机效应模型）。</w:t>
      </w:r>
    </w:p>
    <w:p w14:paraId="06EFCB63">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研究间存在高异质性（I² = 78%），因此随机效应模型的结果更为可靠。</w:t>
      </w:r>
    </w:p>
    <w:p w14:paraId="1E8D278E">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最终效应量（Hedges’ g）约为 0.56，属于中等效应，置信区间较宽，提示未来研究需进一步验证。</w:t>
      </w:r>
    </w:p>
    <w:p w14:paraId="271B2852">
      <w:r>
        <w:drawing>
          <wp:inline distT="0" distB="0" distL="114300" distR="114300">
            <wp:extent cx="5267325" cy="5775325"/>
            <wp:effectExtent l="0" t="0" r="9525" b="158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7325" cy="5775325"/>
                    </a:xfrm>
                    <a:prstGeom prst="rect">
                      <a:avLst/>
                    </a:prstGeom>
                    <a:noFill/>
                    <a:ln>
                      <a:noFill/>
                    </a:ln>
                  </pic:spPr>
                </pic:pic>
              </a:graphicData>
            </a:graphic>
          </wp:inline>
        </w:drawing>
      </w:r>
    </w:p>
    <w:p w14:paraId="2C44CBF1">
      <w:r>
        <w:t>这份文件是包含</w:t>
      </w:r>
      <w:r>
        <w:rPr>
          <w:b/>
        </w:rPr>
        <w:t>亚组分析（Subgroup Analysis）</w:t>
      </w:r>
      <w:r>
        <w:t>的完整元分析结果。我将为您逐一解释每一部分的含义。</w:t>
      </w:r>
    </w:p>
    <w:p w14:paraId="5355E570">
      <w:pPr>
        <w:pStyle w:val="2"/>
      </w:pPr>
      <w:r>
        <w:rPr>
          <w:b/>
        </w:rPr>
        <w:t>整体回顾：研究基本信息与总效应</w:t>
      </w:r>
    </w:p>
    <w:p w14:paraId="4A08C632">
      <w:r>
        <w:t>这部分与之前一致，是对整个分析的概述：</w:t>
      </w:r>
    </w:p>
    <w:p w14:paraId="4E1C4EDF">
      <w:pPr>
        <w:numPr>
          <w:ilvl w:val="0"/>
          <w:numId w:val="1"/>
        </w:numPr>
        <w:spacing w:before="0" w:after="0"/>
        <w:ind w:left="720" w:hanging="360"/>
      </w:pPr>
      <w:r>
        <w:rPr>
          <w:b/>
        </w:rPr>
        <w:t>Number of studies: ( k = 17 )</w:t>
      </w:r>
      <w:r>
        <w:t>: 共纳入</w:t>
      </w:r>
      <w:r>
        <w:rPr>
          <w:b/>
        </w:rPr>
        <w:t>17</w:t>
      </w:r>
      <w:r>
        <w:t>项研究。</w:t>
      </w:r>
    </w:p>
    <w:p w14:paraId="126345C8">
      <w:pPr>
        <w:numPr>
          <w:ilvl w:val="0"/>
          <w:numId w:val="1"/>
        </w:numPr>
        <w:spacing w:before="0" w:after="0"/>
        <w:ind w:left="720" w:hanging="360"/>
      </w:pPr>
      <w:r>
        <w:rPr>
          <w:b/>
        </w:rPr>
        <w:t>Number of observations: ( o = 2193 )</w:t>
      </w:r>
      <w:r>
        <w:t>： 总样本量为</w:t>
      </w:r>
      <w:r>
        <w:rPr>
          <w:b/>
        </w:rPr>
        <w:t>2193</w:t>
      </w:r>
      <w:r>
        <w:t>名受试者。</w:t>
      </w:r>
    </w:p>
    <w:p w14:paraId="4C6485F8">
      <w:pPr>
        <w:numPr>
          <w:ilvl w:val="1"/>
          <w:numId w:val="1"/>
        </w:numPr>
        <w:spacing w:before="0" w:after="0"/>
        <w:ind w:left="1440" w:hanging="360"/>
      </w:pPr>
      <w:r>
        <w:t>o.e = 1105： 实验组人数。</w:t>
      </w:r>
    </w:p>
    <w:p w14:paraId="636538F1">
      <w:pPr>
        <w:numPr>
          <w:ilvl w:val="1"/>
          <w:numId w:val="1"/>
        </w:numPr>
        <w:spacing w:before="0" w:after="0"/>
        <w:ind w:left="1440" w:hanging="360"/>
      </w:pPr>
      <w:r>
        <w:t>o.c = 1088： 对照组人数。</w:t>
      </w:r>
    </w:p>
    <w:p w14:paraId="16A21F21">
      <w:pPr>
        <w:numPr>
          <w:ilvl w:val="0"/>
          <w:numId w:val="1"/>
        </w:numPr>
        <w:spacing w:before="0" w:after="0"/>
        <w:ind w:left="720" w:hanging="360"/>
      </w:pPr>
      <w:r>
        <w:rPr>
          <w:b/>
        </w:rPr>
        <w:t>Common effect model（固定效应模型）</w:t>
      </w:r>
      <w:r>
        <w:t>: 汇总效应量SMD = 0.2495，效应显著。</w:t>
      </w:r>
    </w:p>
    <w:p w14:paraId="1014386E">
      <w:pPr>
        <w:numPr>
          <w:ilvl w:val="0"/>
          <w:numId w:val="1"/>
        </w:numPr>
        <w:spacing w:before="0" w:after="0"/>
        <w:ind w:left="720" w:hanging="360"/>
      </w:pPr>
      <w:r>
        <w:rPr>
          <w:b/>
        </w:rPr>
        <w:t>Random effects model（随机效应模型）</w:t>
      </w:r>
      <w:r>
        <w:t>: 汇总效应量SMD = 0.5581，效应显著，置信区间更宽。</w:t>
      </w:r>
    </w:p>
    <w:p w14:paraId="504ECD84">
      <w:pPr>
        <w:numPr>
          <w:ilvl w:val="0"/>
          <w:numId w:val="1"/>
        </w:numPr>
        <w:spacing w:before="0" w:after="0"/>
        <w:ind w:left="720" w:hanging="360"/>
      </w:pPr>
      <w:r>
        <w:rPr>
          <w:b/>
        </w:rPr>
        <w:t>异质性检验</w:t>
      </w:r>
      <w:r>
        <w:t>:I² = 78.0%，Q检验 p &lt; 0.0001，表明研究间存在</w:t>
      </w:r>
      <w:r>
        <w:rPr>
          <w:b/>
        </w:rPr>
        <w:t>高度异质性</w:t>
      </w:r>
      <w:r>
        <w:t>。</w:t>
      </w:r>
    </w:p>
    <w:p w14:paraId="60E0DDD1">
      <w:pPr>
        <w:pStyle w:val="2"/>
      </w:pPr>
      <w:r>
        <w:rPr>
          <w:b/>
        </w:rPr>
        <w:t>核心新增内容：亚组分析（Subgroup Analysis）</w:t>
      </w:r>
    </w:p>
    <w:p w14:paraId="7C061913">
      <w:r>
        <w:t>亚组分析是为了探究异质性的可能来源，检查某个特定研究特征（此处是按某个连续变量的阈值&gt;0.5和≤0.5分组）是否会影响效应量。</w:t>
      </w:r>
    </w:p>
    <w:p w14:paraId="15648B40">
      <w:r>
        <w:t>分析分别在</w:t>
      </w:r>
      <w:r>
        <w:rPr>
          <w:b/>
        </w:rPr>
        <w:t>固定效应模型</w:t>
      </w:r>
      <w:r>
        <w:t>和</w:t>
      </w:r>
      <w:r>
        <w:rPr>
          <w:b/>
        </w:rPr>
        <w:t>随机效应模型</w:t>
      </w:r>
      <w:r>
        <w:t>下进行，并提供了</w:t>
      </w:r>
      <w:r>
        <w:rPr>
          <w:b/>
        </w:rPr>
        <w:t>亚组间差异检验</w:t>
      </w:r>
      <w:r>
        <w:t>。</w:t>
      </w:r>
    </w:p>
    <w:p w14:paraId="5BB2C2DB">
      <w:pPr>
        <w:pStyle w:val="3"/>
      </w:pPr>
      <w:r>
        <w:rPr>
          <w:b/>
        </w:rPr>
        <w:t>1. 固定效应模型下的亚组结果</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384"/>
        <w:gridCol w:w="1384"/>
        <w:gridCol w:w="1384"/>
        <w:gridCol w:w="1384"/>
        <w:gridCol w:w="1384"/>
        <w:gridCol w:w="1384"/>
      </w:tblGrid>
      <w:tr w14:paraId="13177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30F016A0">
            <w:pPr>
              <w:jc w:val="center"/>
              <w:rPr>
                <w:b/>
              </w:rPr>
            </w:pPr>
            <w:r>
              <w:rPr>
                <w:b/>
              </w:rPr>
              <w:t>亚组</w:t>
            </w:r>
          </w:p>
        </w:tc>
        <w:tc>
          <w:tcPr>
            <w:tcW w:w="0" w:type="auto"/>
            <w:tcMar>
              <w:left w:w="108" w:type="dxa"/>
              <w:right w:w="108" w:type="dxa"/>
            </w:tcMar>
            <w:vAlign w:val="center"/>
          </w:tcPr>
          <w:p w14:paraId="3F667143">
            <w:pPr>
              <w:jc w:val="center"/>
              <w:rPr>
                <w:b/>
              </w:rPr>
            </w:pPr>
            <w:r>
              <w:rPr>
                <w:b/>
              </w:rPr>
              <w:t>k</w:t>
            </w:r>
          </w:p>
        </w:tc>
        <w:tc>
          <w:tcPr>
            <w:tcW w:w="0" w:type="auto"/>
            <w:tcMar>
              <w:left w:w="108" w:type="dxa"/>
              <w:right w:w="108" w:type="dxa"/>
            </w:tcMar>
            <w:vAlign w:val="center"/>
          </w:tcPr>
          <w:p w14:paraId="1C4C9424">
            <w:pPr>
              <w:jc w:val="center"/>
              <w:rPr>
                <w:b/>
              </w:rPr>
            </w:pPr>
            <w:r>
              <w:rPr>
                <w:b/>
              </w:rPr>
              <w:t>SMD</w:t>
            </w:r>
          </w:p>
        </w:tc>
        <w:tc>
          <w:tcPr>
            <w:tcW w:w="0" w:type="auto"/>
            <w:tcMar>
              <w:left w:w="108" w:type="dxa"/>
              <w:right w:w="108" w:type="dxa"/>
            </w:tcMar>
            <w:vAlign w:val="center"/>
          </w:tcPr>
          <w:p w14:paraId="6F5E1C64">
            <w:pPr>
              <w:jc w:val="center"/>
              <w:rPr>
                <w:b/>
              </w:rPr>
            </w:pPr>
            <w:r>
              <w:rPr>
                <w:b/>
              </w:rPr>
              <w:t>95%-CI</w:t>
            </w:r>
          </w:p>
        </w:tc>
        <w:tc>
          <w:tcPr>
            <w:tcW w:w="0" w:type="auto"/>
            <w:tcMar>
              <w:left w:w="108" w:type="dxa"/>
              <w:right w:w="108" w:type="dxa"/>
            </w:tcMar>
            <w:vAlign w:val="center"/>
          </w:tcPr>
          <w:p w14:paraId="23478647">
            <w:pPr>
              <w:jc w:val="center"/>
              <w:rPr>
                <w:b/>
              </w:rPr>
            </w:pPr>
            <w:r>
              <w:rPr>
                <w:b/>
              </w:rPr>
              <w:t>Q</w:t>
            </w:r>
          </w:p>
        </w:tc>
        <w:tc>
          <w:tcPr>
            <w:tcW w:w="0" w:type="auto"/>
            <w:tcMar>
              <w:left w:w="108" w:type="dxa"/>
              <w:right w:w="108" w:type="dxa"/>
            </w:tcMar>
            <w:vAlign w:val="center"/>
          </w:tcPr>
          <w:p w14:paraId="5F1DB237">
            <w:pPr>
              <w:jc w:val="center"/>
              <w:rPr>
                <w:b/>
              </w:rPr>
            </w:pPr>
            <w:r>
              <w:rPr>
                <w:b/>
              </w:rPr>
              <w:t>I²</w:t>
            </w:r>
          </w:p>
        </w:tc>
      </w:tr>
      <w:tr w14:paraId="796EB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028ED773">
            <w:r>
              <w:rPr>
                <w:b/>
              </w:rPr>
              <w:t>Subgroup = &gt;0.5</w:t>
            </w:r>
          </w:p>
        </w:tc>
        <w:tc>
          <w:tcPr>
            <w:tcW w:w="0" w:type="auto"/>
            <w:tcMar>
              <w:left w:w="108" w:type="dxa"/>
              <w:right w:w="108" w:type="dxa"/>
            </w:tcMar>
            <w:vAlign w:val="center"/>
          </w:tcPr>
          <w:p w14:paraId="1C274813">
            <w:r>
              <w:t>11</w:t>
            </w:r>
          </w:p>
        </w:tc>
        <w:tc>
          <w:tcPr>
            <w:tcW w:w="0" w:type="auto"/>
            <w:tcMar>
              <w:left w:w="108" w:type="dxa"/>
              <w:right w:w="108" w:type="dxa"/>
            </w:tcMar>
            <w:vAlign w:val="center"/>
          </w:tcPr>
          <w:p w14:paraId="7A9CEFC9">
            <w:r>
              <w:t>0.2294</w:t>
            </w:r>
          </w:p>
        </w:tc>
        <w:tc>
          <w:tcPr>
            <w:tcW w:w="0" w:type="auto"/>
            <w:tcMar>
              <w:left w:w="108" w:type="dxa"/>
              <w:right w:w="108" w:type="dxa"/>
            </w:tcMar>
            <w:vAlign w:val="center"/>
          </w:tcPr>
          <w:p w14:paraId="13887C6F">
            <w:r>
              <w:t>[0.1290; 0.3298]</w:t>
            </w:r>
          </w:p>
        </w:tc>
        <w:tc>
          <w:tcPr>
            <w:tcW w:w="0" w:type="auto"/>
            <w:tcMar>
              <w:left w:w="108" w:type="dxa"/>
              <w:right w:w="108" w:type="dxa"/>
            </w:tcMar>
            <w:vAlign w:val="center"/>
          </w:tcPr>
          <w:p w14:paraId="6F844D01">
            <w:r>
              <w:t>15.74</w:t>
            </w:r>
          </w:p>
        </w:tc>
        <w:tc>
          <w:tcPr>
            <w:tcW w:w="0" w:type="auto"/>
            <w:tcMar>
              <w:left w:w="108" w:type="dxa"/>
              <w:right w:w="108" w:type="dxa"/>
            </w:tcMar>
            <w:vAlign w:val="center"/>
          </w:tcPr>
          <w:p w14:paraId="7C147A2E">
            <w:r>
              <w:t>36.5%</w:t>
            </w:r>
          </w:p>
        </w:tc>
      </w:tr>
      <w:tr w14:paraId="4995A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3043810E">
            <w:r>
              <w:rPr>
                <w:b/>
              </w:rPr>
              <w:t>Subgroup = ≤0.5</w:t>
            </w:r>
          </w:p>
        </w:tc>
        <w:tc>
          <w:tcPr>
            <w:tcW w:w="0" w:type="auto"/>
            <w:tcMar>
              <w:left w:w="108" w:type="dxa"/>
              <w:right w:w="108" w:type="dxa"/>
            </w:tcMar>
            <w:vAlign w:val="center"/>
          </w:tcPr>
          <w:p w14:paraId="08FDE011">
            <w:r>
              <w:t>6</w:t>
            </w:r>
          </w:p>
        </w:tc>
        <w:tc>
          <w:tcPr>
            <w:tcW w:w="0" w:type="auto"/>
            <w:tcMar>
              <w:left w:w="108" w:type="dxa"/>
              <w:right w:w="108" w:type="dxa"/>
            </w:tcMar>
            <w:vAlign w:val="center"/>
          </w:tcPr>
          <w:p w14:paraId="66104632">
            <w:r>
              <w:t>0.3006</w:t>
            </w:r>
          </w:p>
        </w:tc>
        <w:tc>
          <w:tcPr>
            <w:tcW w:w="0" w:type="auto"/>
            <w:tcMar>
              <w:left w:w="108" w:type="dxa"/>
              <w:right w:w="108" w:type="dxa"/>
            </w:tcMar>
            <w:vAlign w:val="center"/>
          </w:tcPr>
          <w:p w14:paraId="74AB198A">
            <w:r>
              <w:t>[0.1403; 0.4609]</w:t>
            </w:r>
          </w:p>
        </w:tc>
        <w:tc>
          <w:tcPr>
            <w:tcW w:w="0" w:type="auto"/>
            <w:tcMar>
              <w:left w:w="108" w:type="dxa"/>
              <w:right w:w="108" w:type="dxa"/>
            </w:tcMar>
            <w:vAlign w:val="center"/>
          </w:tcPr>
          <w:p w14:paraId="26D0EBED">
            <w:r>
              <w:t>56.51</w:t>
            </w:r>
          </w:p>
        </w:tc>
        <w:tc>
          <w:tcPr>
            <w:tcW w:w="0" w:type="auto"/>
            <w:tcMar>
              <w:left w:w="108" w:type="dxa"/>
              <w:right w:w="108" w:type="dxa"/>
            </w:tcMar>
            <w:vAlign w:val="center"/>
          </w:tcPr>
          <w:p w14:paraId="41A1BC54">
            <w:r>
              <w:t>91.2%</w:t>
            </w:r>
          </w:p>
        </w:tc>
      </w:tr>
    </w:tbl>
    <w:p w14:paraId="3EB603F1">
      <w:pPr>
        <w:numPr>
          <w:ilvl w:val="0"/>
          <w:numId w:val="2"/>
        </w:numPr>
        <w:spacing w:before="0" w:after="0"/>
        <w:ind w:left="720" w:hanging="360"/>
      </w:pPr>
      <w:r>
        <w:rPr>
          <w:b/>
        </w:rPr>
        <w:t>解读</w:t>
      </w:r>
      <w:r>
        <w:t>:</w:t>
      </w:r>
    </w:p>
    <w:p w14:paraId="3E291E9E">
      <w:pPr>
        <w:numPr>
          <w:ilvl w:val="1"/>
          <w:numId w:val="2"/>
        </w:numPr>
        <w:spacing w:before="0" w:after="0"/>
        <w:ind w:left="1440" w:hanging="360"/>
      </w:pPr>
      <w:r>
        <w:rPr>
          <w:b/>
        </w:rPr>
        <w:t>&gt;0.5 组</w:t>
      </w:r>
      <w:r>
        <w:t>（11项研究）：效应量0.23，具有统计学显著性（CI不含0）。组内异质性较低（I² = 36.5%）。</w:t>
      </w:r>
    </w:p>
    <w:p w14:paraId="7D8962AF">
      <w:pPr>
        <w:numPr>
          <w:ilvl w:val="1"/>
          <w:numId w:val="2"/>
        </w:numPr>
        <w:spacing w:before="0" w:after="0"/>
        <w:ind w:left="1440" w:hanging="360"/>
      </w:pPr>
      <w:r>
        <w:rPr>
          <w:b/>
        </w:rPr>
        <w:t>≤0.5 组</w:t>
      </w:r>
      <w:r>
        <w:t>（6项研究）：效应量0.30，具有统计学显著性。但组内异质性</w:t>
      </w:r>
      <w:r>
        <w:rPr>
          <w:b/>
        </w:rPr>
        <w:t>极高</w:t>
      </w:r>
      <w:r>
        <w:t>（I² = 91.2%），说明这6个研究之间的效应差异极大，可能还存在其他未考虑的异质性来源。</w:t>
      </w:r>
    </w:p>
    <w:p w14:paraId="771BED59">
      <w:pPr>
        <w:numPr>
          <w:ilvl w:val="1"/>
          <w:numId w:val="2"/>
        </w:numPr>
        <w:spacing w:before="0" w:after="0"/>
        <w:ind w:left="1440" w:hanging="360"/>
      </w:pPr>
      <w:r>
        <w:rPr>
          <w:b/>
        </w:rPr>
        <w:t>初步观察</w:t>
      </w:r>
      <w:r>
        <w:t>：两个亚组的效应量点估计值（0.23 vs 0.30）看起来有差异，但需要正式的“亚组间差异检验”来判断。</w:t>
      </w:r>
    </w:p>
    <w:p w14:paraId="3FF106B7">
      <w:pPr>
        <w:pStyle w:val="3"/>
      </w:pPr>
      <w:r>
        <w:rPr>
          <w:b/>
        </w:rPr>
        <w:t>2. 固定效应模型下的亚组差异检验</w:t>
      </w:r>
    </w:p>
    <w:p w14:paraId="04E5EB74">
      <w:r>
        <w:t>Test for subgroup differences (common effect model):</w:t>
      </w:r>
    </w:p>
    <w:p w14:paraId="780CC554">
      <w:r>
        <w:t>Q d.f. p-value</w:t>
      </w:r>
    </w:p>
    <w:p w14:paraId="3DAE249C">
      <w:r>
        <w:t>Between groups 0.54 1 0.4608</w:t>
      </w:r>
    </w:p>
    <w:p w14:paraId="0B5FD7DB">
      <w:r>
        <w:t>within groups 72.25 15 &lt; 0.0001</w:t>
      </w:r>
    </w:p>
    <w:p w14:paraId="37BBF6BD">
      <w:pPr>
        <w:numPr>
          <w:ilvl w:val="0"/>
          <w:numId w:val="3"/>
        </w:numPr>
        <w:spacing w:before="0" w:after="0"/>
        <w:ind w:left="720" w:hanging="360"/>
      </w:pPr>
      <w:r>
        <w:rPr>
          <w:b/>
        </w:rPr>
        <w:t>解读</w:t>
      </w:r>
      <w:r>
        <w:t>:</w:t>
      </w:r>
    </w:p>
    <w:p w14:paraId="75FD5CB1">
      <w:pPr>
        <w:numPr>
          <w:ilvl w:val="1"/>
          <w:numId w:val="3"/>
        </w:numPr>
        <w:spacing w:before="0" w:after="0"/>
        <w:ind w:left="1440" w:hanging="360"/>
      </w:pPr>
      <w:r>
        <w:rPr>
          <w:b/>
        </w:rPr>
        <w:t>Between groups (亚组间)</w:t>
      </w:r>
      <w:r>
        <w:t>:Q = 0.54,p = 0.4608。这个检验的原假设是“</w:t>
      </w:r>
      <w:r>
        <w:rPr>
          <w:b/>
        </w:rPr>
        <w:t>不同亚组的真实效应量相等</w:t>
      </w:r>
      <w:r>
        <w:t>”。p值远大于0.05，说明</w:t>
      </w:r>
      <w:r>
        <w:rPr>
          <w:b/>
        </w:rPr>
        <w:t>没有足够证据认为两个亚组（&gt;0.5 和 ≤0.5）的效应量存在统计学上的显著差异</w:t>
      </w:r>
      <w:r>
        <w:t>。</w:t>
      </w:r>
    </w:p>
    <w:p w14:paraId="3BD9E294">
      <w:pPr>
        <w:numPr>
          <w:ilvl w:val="1"/>
          <w:numId w:val="3"/>
        </w:numPr>
        <w:spacing w:before="0" w:after="0"/>
        <w:ind w:left="1440" w:hanging="360"/>
      </w:pPr>
      <w:r>
        <w:rPr>
          <w:b/>
        </w:rPr>
        <w:t>Within groups (亚组内)</w:t>
      </w:r>
      <w:r>
        <w:t>:Q = 72.25,p &lt; 0.0001。这反映了各亚组内部的异质性总和，与总异质性检验一致，证实了亚组内部（尤其是≤0.5组）存在显著变异。</w:t>
      </w:r>
    </w:p>
    <w:p w14:paraId="3501F5E3">
      <w:r>
        <w:rPr>
          <w:b/>
        </w:rPr>
        <w:t>关键结论（基于固定效应模型）</w:t>
      </w:r>
      <w:r>
        <w:t>：按此特征分组，</w:t>
      </w:r>
      <w:r>
        <w:rPr>
          <w:b/>
        </w:rPr>
        <w:t>并不能解释</w:t>
      </w:r>
      <w:r>
        <w:t>研究间存在的异质性。两个亚组的效应量在统计上无显著差异。</w:t>
      </w:r>
    </w:p>
    <w:p w14:paraId="498488A4">
      <w:pPr>
        <w:pStyle w:val="3"/>
      </w:pPr>
      <w:r>
        <w:rPr>
          <w:b/>
        </w:rPr>
        <w:t>3. 随机效应模型下的亚组结果</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384"/>
        <w:gridCol w:w="1384"/>
        <w:gridCol w:w="1384"/>
        <w:gridCol w:w="1384"/>
        <w:gridCol w:w="1384"/>
        <w:gridCol w:w="1384"/>
      </w:tblGrid>
      <w:tr w14:paraId="1688F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6F3F672E">
            <w:pPr>
              <w:jc w:val="center"/>
              <w:rPr>
                <w:b/>
              </w:rPr>
            </w:pPr>
            <w:r>
              <w:rPr>
                <w:b/>
              </w:rPr>
              <w:t>亚组</w:t>
            </w:r>
          </w:p>
        </w:tc>
        <w:tc>
          <w:tcPr>
            <w:tcW w:w="0" w:type="auto"/>
            <w:tcMar>
              <w:left w:w="108" w:type="dxa"/>
              <w:right w:w="108" w:type="dxa"/>
            </w:tcMar>
            <w:vAlign w:val="center"/>
          </w:tcPr>
          <w:p w14:paraId="55230F14">
            <w:pPr>
              <w:jc w:val="center"/>
              <w:rPr>
                <w:b/>
              </w:rPr>
            </w:pPr>
            <w:r>
              <w:rPr>
                <w:b/>
              </w:rPr>
              <w:t>k</w:t>
            </w:r>
          </w:p>
        </w:tc>
        <w:tc>
          <w:tcPr>
            <w:tcW w:w="0" w:type="auto"/>
            <w:tcMar>
              <w:left w:w="108" w:type="dxa"/>
              <w:right w:w="108" w:type="dxa"/>
            </w:tcMar>
            <w:vAlign w:val="center"/>
          </w:tcPr>
          <w:p w14:paraId="7479F337">
            <w:pPr>
              <w:jc w:val="center"/>
              <w:rPr>
                <w:b/>
              </w:rPr>
            </w:pPr>
            <w:r>
              <w:rPr>
                <w:b/>
              </w:rPr>
              <w:t>SMD</w:t>
            </w:r>
          </w:p>
        </w:tc>
        <w:tc>
          <w:tcPr>
            <w:tcW w:w="0" w:type="auto"/>
            <w:tcMar>
              <w:left w:w="108" w:type="dxa"/>
              <w:right w:w="108" w:type="dxa"/>
            </w:tcMar>
            <w:vAlign w:val="center"/>
          </w:tcPr>
          <w:p w14:paraId="7D0741C2">
            <w:pPr>
              <w:jc w:val="center"/>
              <w:rPr>
                <w:b/>
              </w:rPr>
            </w:pPr>
            <w:r>
              <w:rPr>
                <w:b/>
              </w:rPr>
              <w:t>95%-CI</w:t>
            </w:r>
          </w:p>
        </w:tc>
        <w:tc>
          <w:tcPr>
            <w:tcW w:w="0" w:type="auto"/>
            <w:tcMar>
              <w:left w:w="108" w:type="dxa"/>
              <w:right w:w="108" w:type="dxa"/>
            </w:tcMar>
            <w:vAlign w:val="center"/>
          </w:tcPr>
          <w:p w14:paraId="7A77A865">
            <w:pPr>
              <w:jc w:val="center"/>
              <w:rPr>
                <w:b/>
              </w:rPr>
            </w:pPr>
            <w:r>
              <w:rPr>
                <w:b/>
              </w:rPr>
              <w:t>τ²</w:t>
            </w:r>
          </w:p>
        </w:tc>
        <w:tc>
          <w:tcPr>
            <w:tcW w:w="0" w:type="auto"/>
            <w:tcMar>
              <w:left w:w="108" w:type="dxa"/>
              <w:right w:w="108" w:type="dxa"/>
            </w:tcMar>
            <w:vAlign w:val="center"/>
          </w:tcPr>
          <w:p w14:paraId="44D9054D">
            <w:pPr>
              <w:jc w:val="center"/>
              <w:rPr>
                <w:b/>
              </w:rPr>
            </w:pPr>
            <w:r>
              <w:rPr>
                <w:b/>
              </w:rPr>
              <w:t>τ</w:t>
            </w:r>
          </w:p>
        </w:tc>
      </w:tr>
      <w:tr w14:paraId="65353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16DB5CBB">
            <w:r>
              <w:rPr>
                <w:b/>
              </w:rPr>
              <w:t>Subgroup = &gt;0.5</w:t>
            </w:r>
          </w:p>
        </w:tc>
        <w:tc>
          <w:tcPr>
            <w:tcW w:w="0" w:type="auto"/>
            <w:tcMar>
              <w:left w:w="108" w:type="dxa"/>
              <w:right w:w="108" w:type="dxa"/>
            </w:tcMar>
            <w:vAlign w:val="center"/>
          </w:tcPr>
          <w:p w14:paraId="62F728D9">
            <w:r>
              <w:t>11</w:t>
            </w:r>
          </w:p>
        </w:tc>
        <w:tc>
          <w:tcPr>
            <w:tcW w:w="0" w:type="auto"/>
            <w:tcMar>
              <w:left w:w="108" w:type="dxa"/>
              <w:right w:w="108" w:type="dxa"/>
            </w:tcMar>
            <w:vAlign w:val="center"/>
          </w:tcPr>
          <w:p w14:paraId="3AE9188E">
            <w:r>
              <w:t>0.2295</w:t>
            </w:r>
          </w:p>
        </w:tc>
        <w:tc>
          <w:tcPr>
            <w:tcW w:w="0" w:type="auto"/>
            <w:tcMar>
              <w:left w:w="108" w:type="dxa"/>
              <w:right w:w="108" w:type="dxa"/>
            </w:tcMar>
            <w:vAlign w:val="center"/>
          </w:tcPr>
          <w:p w14:paraId="4963D54A">
            <w:r>
              <w:t>[0.1290; 0.3299]</w:t>
            </w:r>
          </w:p>
        </w:tc>
        <w:tc>
          <w:tcPr>
            <w:tcW w:w="0" w:type="auto"/>
            <w:tcMar>
              <w:left w:w="108" w:type="dxa"/>
              <w:right w:w="108" w:type="dxa"/>
            </w:tcMar>
            <w:vAlign w:val="center"/>
          </w:tcPr>
          <w:p w14:paraId="0E9A8ABF">
            <w:r>
              <w:t>&lt;0.0001</w:t>
            </w:r>
          </w:p>
        </w:tc>
        <w:tc>
          <w:tcPr>
            <w:tcW w:w="0" w:type="auto"/>
            <w:tcMar>
              <w:left w:w="108" w:type="dxa"/>
              <w:right w:w="108" w:type="dxa"/>
            </w:tcMar>
            <w:vAlign w:val="center"/>
          </w:tcPr>
          <w:p w14:paraId="2971E88B">
            <w:r>
              <w:t>0.0020</w:t>
            </w:r>
          </w:p>
        </w:tc>
      </w:tr>
      <w:tr w14:paraId="6484E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1BDD5AF2">
            <w:r>
              <w:rPr>
                <w:b/>
              </w:rPr>
              <w:t>Subgroup = ≤0.5</w:t>
            </w:r>
          </w:p>
        </w:tc>
        <w:tc>
          <w:tcPr>
            <w:tcW w:w="0" w:type="auto"/>
            <w:tcMar>
              <w:left w:w="108" w:type="dxa"/>
              <w:right w:w="108" w:type="dxa"/>
            </w:tcMar>
            <w:vAlign w:val="center"/>
          </w:tcPr>
          <w:p w14:paraId="25CBD1E8">
            <w:r>
              <w:t>6</w:t>
            </w:r>
          </w:p>
        </w:tc>
        <w:tc>
          <w:tcPr>
            <w:tcW w:w="0" w:type="auto"/>
            <w:tcMar>
              <w:left w:w="108" w:type="dxa"/>
              <w:right w:w="108" w:type="dxa"/>
            </w:tcMar>
            <w:vAlign w:val="center"/>
          </w:tcPr>
          <w:p w14:paraId="52C04ADB">
            <w:r>
              <w:t>0.1260</w:t>
            </w:r>
          </w:p>
        </w:tc>
        <w:tc>
          <w:tcPr>
            <w:tcW w:w="0" w:type="auto"/>
            <w:tcMar>
              <w:left w:w="108" w:type="dxa"/>
              <w:right w:w="108" w:type="dxa"/>
            </w:tcMar>
            <w:vAlign w:val="center"/>
          </w:tcPr>
          <w:p w14:paraId="58B79A45">
            <w:r>
              <w:t>[-0.1517; 2.2037]</w:t>
            </w:r>
          </w:p>
        </w:tc>
        <w:tc>
          <w:tcPr>
            <w:tcW w:w="0" w:type="auto"/>
            <w:tcMar>
              <w:left w:w="108" w:type="dxa"/>
              <w:right w:w="108" w:type="dxa"/>
            </w:tcMar>
            <w:vAlign w:val="center"/>
          </w:tcPr>
          <w:p w14:paraId="1048AA55">
            <w:r>
              <w:t>2.0601</w:t>
            </w:r>
          </w:p>
        </w:tc>
        <w:tc>
          <w:tcPr>
            <w:tcW w:w="0" w:type="auto"/>
            <w:tcMar>
              <w:left w:w="108" w:type="dxa"/>
              <w:right w:w="108" w:type="dxa"/>
            </w:tcMar>
            <w:vAlign w:val="center"/>
          </w:tcPr>
          <w:p w14:paraId="02F67746">
            <w:r>
              <w:t>1.4353</w:t>
            </w:r>
          </w:p>
        </w:tc>
      </w:tr>
    </w:tbl>
    <w:p w14:paraId="0E3C7649">
      <w:pPr>
        <w:numPr>
          <w:ilvl w:val="0"/>
          <w:numId w:val="4"/>
        </w:numPr>
        <w:spacing w:before="0" w:after="0"/>
        <w:ind w:left="720" w:hanging="360"/>
      </w:pPr>
      <w:r>
        <w:rPr>
          <w:b/>
        </w:rPr>
        <w:t>解读</w:t>
      </w:r>
      <w:r>
        <w:t>:</w:t>
      </w:r>
    </w:p>
    <w:p w14:paraId="61AD7FA3">
      <w:pPr>
        <w:numPr>
          <w:ilvl w:val="1"/>
          <w:numId w:val="4"/>
        </w:numPr>
        <w:spacing w:before="0" w:after="0"/>
        <w:ind w:left="1440" w:hanging="360"/>
      </w:pPr>
      <w:r>
        <w:rPr>
          <w:b/>
        </w:rPr>
        <w:t>&gt;0.5 组</w:t>
      </w:r>
      <w:r>
        <w:t>: 效应量0.23，显著。异质性方差τ² ≈ 0，表明在考虑随机效应后，这11个研究可被视为同质。</w:t>
      </w:r>
    </w:p>
    <w:p w14:paraId="525700E7">
      <w:pPr>
        <w:numPr>
          <w:ilvl w:val="1"/>
          <w:numId w:val="4"/>
        </w:numPr>
        <w:spacing w:before="0" w:after="0"/>
        <w:ind w:left="1440" w:hanging="360"/>
      </w:pPr>
      <w:r>
        <w:rPr>
          <w:b/>
        </w:rPr>
        <w:t>≤0.5 组</w:t>
      </w:r>
      <w:r>
        <w:t>: 效应量0.13，</w:t>
      </w:r>
      <w:r>
        <w:rPr>
          <w:b/>
        </w:rPr>
        <w:t>不再具有统计学显著性</w:t>
      </w:r>
      <w:r>
        <w:t>（置信区间[-0.15; 2.20]包含0）。异质性方差τ² = 2.06</w:t>
      </w:r>
      <w:r>
        <w:rPr>
          <w:b/>
        </w:rPr>
        <w:t>极大</w:t>
      </w:r>
      <w:r>
        <w:t>，说明这6个研究的效应分布非常分散，导致汇总估计极不精确，置信区间宽到几乎无法提供有用信息。</w:t>
      </w:r>
    </w:p>
    <w:p w14:paraId="14DE5489">
      <w:pPr>
        <w:numPr>
          <w:ilvl w:val="1"/>
          <w:numId w:val="4"/>
        </w:numPr>
        <w:spacing w:before="0" w:after="0"/>
        <w:ind w:left="1440" w:hanging="360"/>
      </w:pPr>
      <w:r>
        <w:rPr>
          <w:b/>
        </w:rPr>
        <w:t>与固定效应模型结果的对比</w:t>
      </w:r>
      <w:r>
        <w:t>：随机效应模型下，≤0.5组的效应量估计值变小且不显著，这恰恰体现了随机效应模型在处理高异质性数据时的特点——给予小样本、高变异研究更小的权重，结果更保守。</w:t>
      </w:r>
    </w:p>
    <w:p w14:paraId="3FA22BAB">
      <w:pPr>
        <w:pStyle w:val="3"/>
      </w:pPr>
      <w:r>
        <w:rPr>
          <w:b/>
        </w:rPr>
        <w:t>4. 随机效应模型下的亚组差异检验</w:t>
      </w:r>
    </w:p>
    <w:p w14:paraId="2696F789">
      <w:r>
        <w:t>Test for subgroup differences (random effects model):</w:t>
      </w:r>
    </w:p>
    <w:p w14:paraId="2F17A981">
      <w:r>
        <w:t>Q d.f. p-value</w:t>
      </w:r>
    </w:p>
    <w:p w14:paraId="239B09EF">
      <w:r>
        <w:t>Between groups 1.74 1 0.1866</w:t>
      </w:r>
    </w:p>
    <w:p w14:paraId="5D6F7064">
      <w:pPr>
        <w:numPr>
          <w:ilvl w:val="0"/>
          <w:numId w:val="5"/>
        </w:numPr>
        <w:spacing w:before="0" w:after="0"/>
        <w:ind w:left="720" w:hanging="360"/>
      </w:pPr>
      <w:r>
        <w:rPr>
          <w:b/>
        </w:rPr>
        <w:t>解读</w:t>
      </w:r>
      <w:r>
        <w:t>:</w:t>
      </w:r>
    </w:p>
    <w:p w14:paraId="1C4EECAB">
      <w:pPr>
        <w:numPr>
          <w:ilvl w:val="1"/>
          <w:numId w:val="5"/>
        </w:numPr>
        <w:spacing w:before="0" w:after="0"/>
        <w:ind w:left="1440" w:hanging="360"/>
      </w:pPr>
      <w:r>
        <w:rPr>
          <w:b/>
        </w:rPr>
        <w:t>Between groups (亚组间)</w:t>
      </w:r>
      <w:r>
        <w:t>:Q = 1.74,p = 0.1866。结论与固定效应模型下的检验一致：</w:t>
      </w:r>
      <w:r>
        <w:rPr>
          <w:b/>
        </w:rPr>
        <w:t>两个亚组间的效应量差异没有统计学意义</w:t>
      </w:r>
      <w:r>
        <w:t>。</w:t>
      </w:r>
    </w:p>
    <w:p w14:paraId="24BFFA0E">
      <w:pPr>
        <w:pStyle w:val="2"/>
      </w:pPr>
      <w:r>
        <w:rPr>
          <w:b/>
        </w:rPr>
        <w:t>总结与全局解读</w:t>
      </w:r>
    </w:p>
    <w:p w14:paraId="2748611B">
      <w:pPr>
        <w:numPr>
          <w:ilvl w:val="0"/>
          <w:numId w:val="6"/>
        </w:numPr>
        <w:spacing w:before="0" w:after="0"/>
        <w:ind w:left="720" w:hanging="360"/>
      </w:pPr>
      <w:r>
        <w:rPr>
          <w:b/>
        </w:rPr>
        <w:t>主要发现</w:t>
      </w:r>
      <w:r>
        <w:t>：该元分析发现实验干预相比对照组有</w:t>
      </w:r>
      <w:r>
        <w:rPr>
          <w:b/>
        </w:rPr>
        <w:t>显著的中等正效应</w:t>
      </w:r>
      <w:r>
        <w:t>（总SMD ≈ 0.25-0.56）。</w:t>
      </w:r>
    </w:p>
    <w:p w14:paraId="104EA802">
      <w:pPr>
        <w:numPr>
          <w:ilvl w:val="0"/>
          <w:numId w:val="6"/>
        </w:numPr>
        <w:spacing w:before="0" w:after="0"/>
        <w:ind w:left="720" w:hanging="360"/>
      </w:pPr>
      <w:r>
        <w:rPr>
          <w:b/>
        </w:rPr>
        <w:t>异质性</w:t>
      </w:r>
      <w:r>
        <w:t>：研究间存在</w:t>
      </w:r>
      <w:r>
        <w:rPr>
          <w:b/>
        </w:rPr>
        <w:t>高度异质性</w:t>
      </w:r>
      <w:r>
        <w:t>（I² = 78%），这是分析中需要重点关注的问题。</w:t>
      </w:r>
    </w:p>
    <w:p w14:paraId="046BFE50">
      <w:pPr>
        <w:numPr>
          <w:ilvl w:val="0"/>
          <w:numId w:val="6"/>
        </w:numPr>
        <w:spacing w:before="0" w:after="0"/>
        <w:ind w:left="720" w:hanging="360"/>
      </w:pPr>
      <w:r>
        <w:rPr>
          <w:b/>
        </w:rPr>
        <w:t>亚组分析结论</w:t>
      </w:r>
      <w:r>
        <w:t>：为了探索异质性来源，研究者按某个特征（&gt;0.5vs≤0.5）进行了亚组分析。然而：</w:t>
      </w:r>
    </w:p>
    <w:p w14:paraId="64588A51">
      <w:pPr>
        <w:numPr>
          <w:ilvl w:val="1"/>
          <w:numId w:val="6"/>
        </w:numPr>
        <w:spacing w:before="0" w:after="0"/>
        <w:ind w:left="1440" w:hanging="360"/>
      </w:pPr>
      <w:r>
        <w:rPr>
          <w:b/>
        </w:rPr>
        <w:t>亚组间差异检验不显著</w:t>
      </w:r>
      <w:r>
        <w:t>（p &gt; 0.05），表明</w:t>
      </w:r>
      <w:r>
        <w:rPr>
          <w:b/>
        </w:rPr>
        <w:t>此分类特征不能显著解释总的异质性</w:t>
      </w:r>
      <w:r>
        <w:t>。</w:t>
      </w:r>
    </w:p>
    <w:p w14:paraId="57DEFC48">
      <w:pPr>
        <w:numPr>
          <w:ilvl w:val="1"/>
          <w:numId w:val="6"/>
        </w:numPr>
        <w:spacing w:before="0" w:after="0"/>
        <w:ind w:left="1440" w:hanging="360"/>
      </w:pPr>
      <w:r>
        <w:t>在≤0.5这个亚组内部，异质性异常高（I² &gt; 90%,τ²很大），意味着这个亚组内的研究结果极不一致，可能受到其他未知或未测量因素的影响。</w:t>
      </w:r>
    </w:p>
    <w:p w14:paraId="3D0A6AF8">
      <w:pPr>
        <w:numPr>
          <w:ilvl w:val="0"/>
          <w:numId w:val="6"/>
        </w:numPr>
        <w:spacing w:before="0" w:after="0"/>
        <w:ind w:left="720" w:hanging="360"/>
      </w:pPr>
      <w:r>
        <w:rPr>
          <w:b/>
        </w:rPr>
        <w:t>模型选择启示</w:t>
      </w:r>
      <w:r>
        <w:t>：由于存在高异质性，</w:t>
      </w:r>
      <w:r>
        <w:rPr>
          <w:b/>
        </w:rPr>
        <w:t>随机效应模型的结果通常更可靠</w:t>
      </w:r>
      <w:r>
        <w:t>。该模型下，&gt;0.5亚组显示出稳定的小到中度正效应，而≤0.5亚组的效应则非常不确定。</w:t>
      </w:r>
    </w:p>
    <w:p w14:paraId="6576A8AB">
      <w:r>
        <w:rPr>
          <w:b/>
        </w:rPr>
        <w:t>最终建议</w:t>
      </w:r>
      <w:r>
        <w:t>：未来的研究应重点探究导致≤0.5亚组内结果高度不一致的原因（如干预形式、人群特征、研究质量等），并寻找更能解释总体异质性的其他调节变量。当前分析不支持简单地根据&gt;0.5或≤0.5这一特征来预测干预效果。</w:t>
      </w:r>
    </w:p>
    <w:p w14:paraId="46CB1FB8"/>
    <w:p w14:paraId="1FFD97B4">
      <w:r>
        <w:drawing>
          <wp:inline distT="0" distB="0" distL="114300" distR="114300">
            <wp:extent cx="5270500" cy="5100955"/>
            <wp:effectExtent l="0" t="0" r="635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0500" cy="5100955"/>
                    </a:xfrm>
                    <a:prstGeom prst="rect">
                      <a:avLst/>
                    </a:prstGeom>
                    <a:noFill/>
                    <a:ln>
                      <a:noFill/>
                    </a:ln>
                  </pic:spPr>
                </pic:pic>
              </a:graphicData>
            </a:graphic>
          </wp:inline>
        </w:drawing>
      </w:r>
    </w:p>
    <w:p w14:paraId="627FC3EE">
      <w:r>
        <w:t>这是第三份元分析报告，重点关注</w:t>
      </w:r>
      <w:r>
        <w:rPr>
          <w:b/>
        </w:rPr>
        <w:t>不同发展时期（儿童期、早期青少年期、中期青少年期）</w:t>
      </w:r>
      <w:r>
        <w:t>对干预效果的调节作用。以下是详细解读：</w:t>
      </w:r>
    </w:p>
    <w:p w14:paraId="5F73C211">
      <w:pPr>
        <w:pStyle w:val="2"/>
      </w:pPr>
      <w:r>
        <w:rPr>
          <w:b/>
        </w:rPr>
        <w:t>整体研究概况</w:t>
      </w:r>
    </w:p>
    <w:p w14:paraId="66BAEFD1">
      <w:pPr>
        <w:numPr>
          <w:ilvl w:val="0"/>
          <w:numId w:val="7"/>
        </w:numPr>
        <w:spacing w:before="0" w:after="0"/>
        <w:ind w:left="720" w:hanging="360"/>
      </w:pPr>
      <w:r>
        <w:rPr>
          <w:b/>
        </w:rPr>
        <w:t>Number of studies: ( k = 17 )</w:t>
      </w:r>
      <w:r>
        <w:t>： 共纳入</w:t>
      </w:r>
      <w:r>
        <w:rPr>
          <w:b/>
        </w:rPr>
        <w:t>17</w:t>
      </w:r>
      <w:r>
        <w:t>项研究。</w:t>
      </w:r>
    </w:p>
    <w:p w14:paraId="6A0A99AE">
      <w:pPr>
        <w:numPr>
          <w:ilvl w:val="0"/>
          <w:numId w:val="7"/>
        </w:numPr>
        <w:spacing w:before="0" w:after="0"/>
        <w:ind w:left="720" w:hanging="360"/>
      </w:pPr>
      <w:r>
        <w:rPr>
          <w:b/>
        </w:rPr>
        <w:t>Number of observations: ( o = 2193 )</w:t>
      </w:r>
      <w:r>
        <w:t>： 总样本量为</w:t>
      </w:r>
      <w:r>
        <w:rPr>
          <w:b/>
        </w:rPr>
        <w:t>2193</w:t>
      </w:r>
      <w:r>
        <w:t>名受试者。</w:t>
      </w:r>
    </w:p>
    <w:p w14:paraId="1432F537">
      <w:pPr>
        <w:numPr>
          <w:ilvl w:val="1"/>
          <w:numId w:val="7"/>
        </w:numPr>
        <w:spacing w:before="0" w:after="0"/>
        <w:ind w:left="1440" w:hanging="360"/>
      </w:pPr>
      <w:r>
        <w:t>o.e = 1105： 实验组人数。</w:t>
      </w:r>
    </w:p>
    <w:p w14:paraId="4D5D322B">
      <w:pPr>
        <w:numPr>
          <w:ilvl w:val="1"/>
          <w:numId w:val="7"/>
        </w:numPr>
        <w:spacing w:before="0" w:after="0"/>
        <w:ind w:left="1440" w:hanging="360"/>
      </w:pPr>
      <w:r>
        <w:t>o.c = 1088： 对照组人数。</w:t>
      </w:r>
    </w:p>
    <w:p w14:paraId="6A3B6B1D">
      <w:pPr>
        <w:numPr>
          <w:ilvl w:val="0"/>
          <w:numId w:val="7"/>
        </w:numPr>
        <w:spacing w:before="0" w:after="0"/>
        <w:ind w:left="720" w:hanging="360"/>
      </w:pPr>
      <w:r>
        <w:rPr>
          <w:b/>
        </w:rPr>
        <w:t>注意</w:t>
      </w:r>
      <w:r>
        <w:t>：此分析的研究数和样本量与第一份报告相同，但亚组分类变量不同。</w:t>
      </w:r>
    </w:p>
    <w:p w14:paraId="21F6DA59">
      <w:pPr>
        <w:pStyle w:val="2"/>
      </w:pPr>
      <w:r>
        <w:rPr>
          <w:b/>
        </w:rPr>
        <w:t>1. 总效应汇总</w:t>
      </w:r>
    </w:p>
    <w:p w14:paraId="6C7D4648">
      <w:pPr>
        <w:pStyle w:val="3"/>
      </w:pPr>
      <w:r>
        <w:rPr>
          <w:b/>
        </w:rPr>
        <w:t>Common effect model（固定效应模型）</w:t>
      </w:r>
    </w:p>
    <w:p w14:paraId="34EDF5E5">
      <w:pPr>
        <w:numPr>
          <w:ilvl w:val="0"/>
          <w:numId w:val="8"/>
        </w:numPr>
        <w:spacing w:before="0" w:after="0"/>
        <w:ind w:left="720" w:hanging="360"/>
      </w:pPr>
      <w:r>
        <w:rPr>
          <w:b/>
        </w:rPr>
        <w:t>SMD = 0.2495 [0.1644; 0.3346]</w:t>
      </w:r>
      <w:r>
        <w:t>： 汇总效应量为</w:t>
      </w:r>
      <w:r>
        <w:rPr>
          <w:b/>
        </w:rPr>
        <w:t>小到中度</w:t>
      </w:r>
      <w:r>
        <w:t>（约0.25个标准差），且效应显著。</w:t>
      </w:r>
    </w:p>
    <w:p w14:paraId="7F2FCC23">
      <w:pPr>
        <w:numPr>
          <w:ilvl w:val="0"/>
          <w:numId w:val="8"/>
        </w:numPr>
        <w:spacing w:before="0" w:after="0"/>
        <w:ind w:left="720" w:hanging="360"/>
      </w:pPr>
      <w:r>
        <w:rPr>
          <w:b/>
        </w:rPr>
        <w:t>z = 5.75, p &lt; 0.0001</w:t>
      </w:r>
      <w:r>
        <w:t>： 统计检验高度显著。</w:t>
      </w:r>
    </w:p>
    <w:p w14:paraId="7025F233">
      <w:pPr>
        <w:pStyle w:val="3"/>
      </w:pPr>
      <w:r>
        <w:rPr>
          <w:b/>
        </w:rPr>
        <w:t>Random effects model（随机效应模型）</w:t>
      </w:r>
    </w:p>
    <w:p w14:paraId="6E0FAB16">
      <w:pPr>
        <w:numPr>
          <w:ilvl w:val="0"/>
          <w:numId w:val="9"/>
        </w:numPr>
        <w:spacing w:before="0" w:after="0"/>
        <w:ind w:left="720" w:hanging="360"/>
      </w:pPr>
      <w:r>
        <w:rPr>
          <w:b/>
        </w:rPr>
        <w:t>SMD = 0.5581 [0.2158; 0.9005]</w:t>
      </w:r>
      <w:r>
        <w:t>： 汇总效应量变为</w:t>
      </w:r>
      <w:r>
        <w:rPr>
          <w:b/>
        </w:rPr>
        <w:t>中等效应</w:t>
      </w:r>
      <w:r>
        <w:t>，置信区间变宽，但效应仍显著。</w:t>
      </w:r>
    </w:p>
    <w:p w14:paraId="4062D1FC">
      <w:pPr>
        <w:numPr>
          <w:ilvl w:val="0"/>
          <w:numId w:val="9"/>
        </w:numPr>
        <w:spacing w:before="0" w:after="0"/>
        <w:ind w:left="720" w:hanging="360"/>
      </w:pPr>
      <w:r>
        <w:rPr>
          <w:b/>
        </w:rPr>
        <w:t>z = 3.20, p = 0.0014</w:t>
      </w:r>
      <w:r>
        <w:t>： 统计检验显著。</w:t>
      </w:r>
    </w:p>
    <w:p w14:paraId="466A92E3">
      <w:r>
        <w:rPr>
          <w:b/>
        </w:rPr>
        <w:t>关键点</w:t>
      </w:r>
      <w:r>
        <w:t>：随机效应模型效应量更大且置信区间宽，提示存在异质性。</w:t>
      </w:r>
    </w:p>
    <w:p w14:paraId="5210B2A8">
      <w:pPr>
        <w:pStyle w:val="2"/>
      </w:pPr>
      <w:r>
        <w:rPr>
          <w:b/>
        </w:rPr>
        <w:t>2. 异质性分析</w:t>
      </w:r>
    </w:p>
    <w:p w14:paraId="0B2E144E">
      <w:pPr>
        <w:numPr>
          <w:ilvl w:val="0"/>
          <w:numId w:val="10"/>
        </w:numPr>
        <w:spacing w:before="0" w:after="0"/>
        <w:ind w:left="720" w:hanging="360"/>
      </w:pPr>
      <w:r>
        <w:rPr>
          <w:b/>
        </w:rPr>
        <w:t>tau² = 0.4404</w:t>
      </w:r>
      <w:r>
        <w:t>: 研究间真实效应量的方差估计值中等。</w:t>
      </w:r>
    </w:p>
    <w:p w14:paraId="385C7CE6">
      <w:pPr>
        <w:numPr>
          <w:ilvl w:val="0"/>
          <w:numId w:val="10"/>
        </w:numPr>
        <w:spacing w:before="0" w:after="0"/>
        <w:ind w:left="720" w:hanging="360"/>
      </w:pPr>
      <w:r>
        <w:rPr>
          <w:b/>
        </w:rPr>
        <w:t>I² = 78.0%</w:t>
      </w:r>
      <w:r>
        <w:t>:</w:t>
      </w:r>
      <w:r>
        <w:rPr>
          <w:b/>
        </w:rPr>
        <w:t>78%</w:t>
      </w:r>
      <w:r>
        <w:t>的效应量变异由研究间的真实差异引起，属于</w:t>
      </w:r>
      <w:r>
        <w:rPr>
          <w:b/>
        </w:rPr>
        <w:t>高异质性</w:t>
      </w:r>
      <w:r>
        <w:t>。</w:t>
      </w:r>
    </w:p>
    <w:p w14:paraId="6D496936">
      <w:pPr>
        <w:numPr>
          <w:ilvl w:val="0"/>
          <w:numId w:val="10"/>
        </w:numPr>
        <w:spacing w:before="0" w:after="0"/>
        <w:ind w:left="720" w:hanging="360"/>
      </w:pPr>
      <w:r>
        <w:rPr>
          <w:b/>
        </w:rPr>
        <w:t>Q检验 (Q=72.80, p&lt;0.0001)</w:t>
      </w:r>
      <w:r>
        <w:t>： 证实研究间存在统计学上的显著异质性。</w:t>
      </w:r>
    </w:p>
    <w:p w14:paraId="1F89260E">
      <w:r>
        <w:rPr>
          <w:b/>
        </w:rPr>
        <w:t>结论</w:t>
      </w:r>
      <w:r>
        <w:t>：存在</w:t>
      </w:r>
      <w:r>
        <w:rPr>
          <w:b/>
        </w:rPr>
        <w:t>高异质性</w:t>
      </w:r>
      <w:r>
        <w:t>，因此</w:t>
      </w:r>
      <w:r>
        <w:rPr>
          <w:b/>
        </w:rPr>
        <w:t>随机效应模型的结果更可靠</w:t>
      </w:r>
      <w:r>
        <w:t>。</w:t>
      </w:r>
    </w:p>
    <w:p w14:paraId="71AC3EEC">
      <w:pPr>
        <w:pStyle w:val="2"/>
      </w:pPr>
      <w:r>
        <w:rPr>
          <w:b/>
        </w:rPr>
        <w:t>3. 亚组分析：按发展时期分层</w:t>
      </w:r>
    </w:p>
    <w:p w14:paraId="7550FBB3">
      <w:r>
        <w:t>分析旨在回答：干预效果是否因研究对象所处的发展时期（儿童期、早期青少年期、中期青少年期）不同而存在差异？</w:t>
      </w:r>
    </w:p>
    <w:p w14:paraId="13A7DCCB">
      <w:pPr>
        <w:pStyle w:val="3"/>
      </w:pPr>
      <w:r>
        <w:rPr>
          <w:b/>
        </w:rPr>
        <w:t>3.1 固定效应模型下的亚组结果</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384"/>
        <w:gridCol w:w="1384"/>
        <w:gridCol w:w="1384"/>
        <w:gridCol w:w="1384"/>
        <w:gridCol w:w="1384"/>
        <w:gridCol w:w="1384"/>
      </w:tblGrid>
      <w:tr w14:paraId="751CD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1AD5F5DA">
            <w:pPr>
              <w:jc w:val="center"/>
              <w:rPr>
                <w:b/>
              </w:rPr>
            </w:pPr>
            <w:r>
              <w:rPr>
                <w:b/>
              </w:rPr>
              <w:t>亚组</w:t>
            </w:r>
          </w:p>
        </w:tc>
        <w:tc>
          <w:tcPr>
            <w:tcW w:w="0" w:type="auto"/>
            <w:tcMar>
              <w:left w:w="108" w:type="dxa"/>
              <w:right w:w="108" w:type="dxa"/>
            </w:tcMar>
            <w:vAlign w:val="center"/>
          </w:tcPr>
          <w:p w14:paraId="70B7B8F2">
            <w:pPr>
              <w:jc w:val="center"/>
              <w:rPr>
                <w:b/>
              </w:rPr>
            </w:pPr>
            <w:r>
              <w:rPr>
                <w:b/>
              </w:rPr>
              <w:t>k</w:t>
            </w:r>
          </w:p>
        </w:tc>
        <w:tc>
          <w:tcPr>
            <w:tcW w:w="0" w:type="auto"/>
            <w:tcMar>
              <w:left w:w="108" w:type="dxa"/>
              <w:right w:w="108" w:type="dxa"/>
            </w:tcMar>
            <w:vAlign w:val="center"/>
          </w:tcPr>
          <w:p w14:paraId="4A319693">
            <w:pPr>
              <w:jc w:val="center"/>
              <w:rPr>
                <w:b/>
              </w:rPr>
            </w:pPr>
            <w:r>
              <w:rPr>
                <w:b/>
              </w:rPr>
              <w:t>SMD</w:t>
            </w:r>
          </w:p>
        </w:tc>
        <w:tc>
          <w:tcPr>
            <w:tcW w:w="0" w:type="auto"/>
            <w:tcMar>
              <w:left w:w="108" w:type="dxa"/>
              <w:right w:w="108" w:type="dxa"/>
            </w:tcMar>
            <w:vAlign w:val="center"/>
          </w:tcPr>
          <w:p w14:paraId="64C3F4BB">
            <w:pPr>
              <w:jc w:val="center"/>
              <w:rPr>
                <w:b/>
              </w:rPr>
            </w:pPr>
            <w:r>
              <w:rPr>
                <w:b/>
              </w:rPr>
              <w:t>95%-CI</w:t>
            </w:r>
          </w:p>
        </w:tc>
        <w:tc>
          <w:tcPr>
            <w:tcW w:w="0" w:type="auto"/>
            <w:tcMar>
              <w:left w:w="108" w:type="dxa"/>
              <w:right w:w="108" w:type="dxa"/>
            </w:tcMar>
            <w:vAlign w:val="center"/>
          </w:tcPr>
          <w:p w14:paraId="299B6EB0">
            <w:pPr>
              <w:jc w:val="center"/>
              <w:rPr>
                <w:b/>
              </w:rPr>
            </w:pPr>
            <w:r>
              <w:rPr>
                <w:b/>
              </w:rPr>
              <w:t>Q</w:t>
            </w:r>
          </w:p>
        </w:tc>
        <w:tc>
          <w:tcPr>
            <w:tcW w:w="0" w:type="auto"/>
            <w:tcMar>
              <w:left w:w="108" w:type="dxa"/>
              <w:right w:w="108" w:type="dxa"/>
            </w:tcMar>
            <w:vAlign w:val="center"/>
          </w:tcPr>
          <w:p w14:paraId="681F7A9E">
            <w:pPr>
              <w:jc w:val="center"/>
              <w:rPr>
                <w:b/>
              </w:rPr>
            </w:pPr>
            <w:r>
              <w:rPr>
                <w:b/>
              </w:rPr>
              <w:t>I²</w:t>
            </w:r>
          </w:p>
        </w:tc>
      </w:tr>
      <w:tr w14:paraId="41950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1AD098C6">
            <w:r>
              <w:rPr>
                <w:b/>
              </w:rPr>
              <w:t>Early Adolescence (早期青少年)</w:t>
            </w:r>
          </w:p>
        </w:tc>
        <w:tc>
          <w:tcPr>
            <w:tcW w:w="0" w:type="auto"/>
            <w:tcMar>
              <w:left w:w="108" w:type="dxa"/>
              <w:right w:w="108" w:type="dxa"/>
            </w:tcMar>
            <w:vAlign w:val="center"/>
          </w:tcPr>
          <w:p w14:paraId="49B352CE">
            <w:r>
              <w:t>4</w:t>
            </w:r>
          </w:p>
        </w:tc>
        <w:tc>
          <w:tcPr>
            <w:tcW w:w="0" w:type="auto"/>
            <w:tcMar>
              <w:left w:w="108" w:type="dxa"/>
              <w:right w:w="108" w:type="dxa"/>
            </w:tcMar>
            <w:vAlign w:val="center"/>
          </w:tcPr>
          <w:p w14:paraId="4582462C">
            <w:r>
              <w:t>0.2242</w:t>
            </w:r>
          </w:p>
        </w:tc>
        <w:tc>
          <w:tcPr>
            <w:tcW w:w="0" w:type="auto"/>
            <w:tcMar>
              <w:left w:w="108" w:type="dxa"/>
              <w:right w:w="108" w:type="dxa"/>
            </w:tcMar>
            <w:vAlign w:val="center"/>
          </w:tcPr>
          <w:p w14:paraId="6CA476F9">
            <w:r>
              <w:t>[0.0409; 0.4075]</w:t>
            </w:r>
          </w:p>
        </w:tc>
        <w:tc>
          <w:tcPr>
            <w:tcW w:w="0" w:type="auto"/>
            <w:tcMar>
              <w:left w:w="108" w:type="dxa"/>
              <w:right w:w="108" w:type="dxa"/>
            </w:tcMar>
            <w:vAlign w:val="center"/>
          </w:tcPr>
          <w:p w14:paraId="71D3BC81">
            <w:r>
              <w:t>57.69</w:t>
            </w:r>
          </w:p>
        </w:tc>
        <w:tc>
          <w:tcPr>
            <w:tcW w:w="0" w:type="auto"/>
            <w:tcMar>
              <w:left w:w="108" w:type="dxa"/>
              <w:right w:w="108" w:type="dxa"/>
            </w:tcMar>
            <w:vAlign w:val="center"/>
          </w:tcPr>
          <w:p w14:paraId="2E3046BC">
            <w:r>
              <w:t>94.8%</w:t>
            </w:r>
          </w:p>
        </w:tc>
      </w:tr>
      <w:tr w14:paraId="78F2E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3097EEA8">
            <w:r>
              <w:rPr>
                <w:b/>
              </w:rPr>
              <w:t>Childhood (儿童期)</w:t>
            </w:r>
          </w:p>
        </w:tc>
        <w:tc>
          <w:tcPr>
            <w:tcW w:w="0" w:type="auto"/>
            <w:tcMar>
              <w:left w:w="108" w:type="dxa"/>
              <w:right w:w="108" w:type="dxa"/>
            </w:tcMar>
            <w:vAlign w:val="center"/>
          </w:tcPr>
          <w:p w14:paraId="2455694F">
            <w:r>
              <w:t>12</w:t>
            </w:r>
          </w:p>
        </w:tc>
        <w:tc>
          <w:tcPr>
            <w:tcW w:w="0" w:type="auto"/>
            <w:tcMar>
              <w:left w:w="108" w:type="dxa"/>
              <w:right w:w="108" w:type="dxa"/>
            </w:tcMar>
            <w:vAlign w:val="center"/>
          </w:tcPr>
          <w:p w14:paraId="79AFE5EB">
            <w:r>
              <w:t>0.3224</w:t>
            </w:r>
          </w:p>
        </w:tc>
        <w:tc>
          <w:tcPr>
            <w:tcW w:w="0" w:type="auto"/>
            <w:tcMar>
              <w:left w:w="108" w:type="dxa"/>
              <w:right w:w="108" w:type="dxa"/>
            </w:tcMar>
            <w:vAlign w:val="center"/>
          </w:tcPr>
          <w:p w14:paraId="455E851A">
            <w:r>
              <w:t>[0.2014; 0.4435]</w:t>
            </w:r>
          </w:p>
        </w:tc>
        <w:tc>
          <w:tcPr>
            <w:tcW w:w="0" w:type="auto"/>
            <w:tcMar>
              <w:left w:w="108" w:type="dxa"/>
              <w:right w:w="108" w:type="dxa"/>
            </w:tcMar>
            <w:vAlign w:val="center"/>
          </w:tcPr>
          <w:p w14:paraId="79F15E60">
            <w:r>
              <w:t>11.93</w:t>
            </w:r>
          </w:p>
        </w:tc>
        <w:tc>
          <w:tcPr>
            <w:tcW w:w="0" w:type="auto"/>
            <w:tcMar>
              <w:left w:w="108" w:type="dxa"/>
              <w:right w:w="108" w:type="dxa"/>
            </w:tcMar>
            <w:vAlign w:val="center"/>
          </w:tcPr>
          <w:p w14:paraId="25E1A89D">
            <w:r>
              <w:t>7.8%</w:t>
            </w:r>
          </w:p>
        </w:tc>
      </w:tr>
      <w:tr w14:paraId="5542D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3F3658D5">
            <w:r>
              <w:rPr>
                <w:b/>
              </w:rPr>
              <w:t>Middle Adolescence (中期青少年)</w:t>
            </w:r>
          </w:p>
        </w:tc>
        <w:tc>
          <w:tcPr>
            <w:tcW w:w="0" w:type="auto"/>
            <w:tcMar>
              <w:left w:w="108" w:type="dxa"/>
              <w:right w:w="108" w:type="dxa"/>
            </w:tcMar>
            <w:vAlign w:val="center"/>
          </w:tcPr>
          <w:p w14:paraId="1BFD4DF4">
            <w:r>
              <w:t>1</w:t>
            </w:r>
          </w:p>
        </w:tc>
        <w:tc>
          <w:tcPr>
            <w:tcW w:w="0" w:type="auto"/>
            <w:tcMar>
              <w:left w:w="108" w:type="dxa"/>
              <w:right w:w="108" w:type="dxa"/>
            </w:tcMar>
            <w:vAlign w:val="center"/>
          </w:tcPr>
          <w:p w14:paraId="7E0538E9">
            <w:r>
              <w:t>0.1442</w:t>
            </w:r>
          </w:p>
        </w:tc>
        <w:tc>
          <w:tcPr>
            <w:tcW w:w="0" w:type="auto"/>
            <w:tcMar>
              <w:left w:w="108" w:type="dxa"/>
              <w:right w:w="108" w:type="dxa"/>
            </w:tcMar>
            <w:vAlign w:val="center"/>
          </w:tcPr>
          <w:p w14:paraId="7DE9B00E">
            <w:r>
              <w:t>[-0.0137; 0.3021]</w:t>
            </w:r>
          </w:p>
        </w:tc>
        <w:tc>
          <w:tcPr>
            <w:tcW w:w="0" w:type="auto"/>
            <w:tcMar>
              <w:left w:w="108" w:type="dxa"/>
              <w:right w:w="108" w:type="dxa"/>
            </w:tcMar>
            <w:vAlign w:val="center"/>
          </w:tcPr>
          <w:p w14:paraId="0A7FC203">
            <w:r>
              <w:t>0.00</w:t>
            </w:r>
          </w:p>
        </w:tc>
        <w:tc>
          <w:tcPr>
            <w:tcW w:w="0" w:type="auto"/>
            <w:tcMar>
              <w:left w:w="108" w:type="dxa"/>
              <w:right w:w="108" w:type="dxa"/>
            </w:tcMar>
            <w:vAlign w:val="center"/>
          </w:tcPr>
          <w:p w14:paraId="10DEDE7A">
            <w:r>
              <w:t>--</w:t>
            </w:r>
          </w:p>
        </w:tc>
      </w:tr>
    </w:tbl>
    <w:p w14:paraId="57AB8E4A">
      <w:pPr>
        <w:numPr>
          <w:ilvl w:val="0"/>
          <w:numId w:val="11"/>
        </w:numPr>
        <w:spacing w:before="0" w:after="0"/>
        <w:ind w:left="720" w:hanging="360"/>
      </w:pPr>
      <w:r>
        <w:rPr>
          <w:b/>
        </w:rPr>
        <w:t>解读</w:t>
      </w:r>
      <w:r>
        <w:t>：</w:t>
      </w:r>
    </w:p>
    <w:p w14:paraId="332EA1D2">
      <w:pPr>
        <w:numPr>
          <w:ilvl w:val="1"/>
          <w:numId w:val="11"/>
        </w:numPr>
        <w:spacing w:before="0" w:after="0"/>
        <w:ind w:left="1440" w:hanging="360"/>
      </w:pPr>
      <w:r>
        <w:rPr>
          <w:b/>
        </w:rPr>
        <w:t>早期青少年组</w:t>
      </w:r>
      <w:r>
        <w:t>：4项研究，汇总效应为</w:t>
      </w:r>
      <w:r>
        <w:rPr>
          <w:b/>
        </w:rPr>
        <w:t>小的正效应</w:t>
      </w:r>
      <w:r>
        <w:t>（SMD≈0.22），但组内</w:t>
      </w:r>
      <w:r>
        <w:rPr>
          <w:b/>
        </w:rPr>
        <w:t>异质性极高</w:t>
      </w:r>
      <w:r>
        <w:t>（I²=94.8%），说明这4个研究的结果极不一致。</w:t>
      </w:r>
    </w:p>
    <w:p w14:paraId="38289238">
      <w:pPr>
        <w:numPr>
          <w:ilvl w:val="1"/>
          <w:numId w:val="11"/>
        </w:numPr>
        <w:spacing w:before="0" w:after="0"/>
        <w:ind w:left="1440" w:hanging="360"/>
      </w:pPr>
      <w:r>
        <w:rPr>
          <w:b/>
        </w:rPr>
        <w:t>儿童期组</w:t>
      </w:r>
      <w:r>
        <w:t>：12项研究，汇总效应为</w:t>
      </w:r>
      <w:r>
        <w:rPr>
          <w:b/>
        </w:rPr>
        <w:t>小到中度正效应</w:t>
      </w:r>
      <w:r>
        <w:t>（SMD≈0.32），且组内异质性</w:t>
      </w:r>
      <w:r>
        <w:rPr>
          <w:b/>
        </w:rPr>
        <w:t>很低</w:t>
      </w:r>
      <w:r>
        <w:t>（I²=7.8%），结果稳定、一致。</w:t>
      </w:r>
    </w:p>
    <w:p w14:paraId="6B256D77">
      <w:pPr>
        <w:numPr>
          <w:ilvl w:val="1"/>
          <w:numId w:val="11"/>
        </w:numPr>
        <w:spacing w:before="0" w:after="0"/>
        <w:ind w:left="1440" w:hanging="360"/>
      </w:pPr>
      <w:r>
        <w:rPr>
          <w:b/>
        </w:rPr>
        <w:t>中期青少年组</w:t>
      </w:r>
      <w:r>
        <w:t>：仅1项研究，效应很小（SMD≈0.14）且</w:t>
      </w:r>
      <w:r>
        <w:rPr>
          <w:b/>
        </w:rPr>
        <w:t>不显著</w:t>
      </w:r>
      <w:r>
        <w:t>（CI包含0）。</w:t>
      </w:r>
    </w:p>
    <w:p w14:paraId="7C41546C">
      <w:pPr>
        <w:pStyle w:val="3"/>
      </w:pPr>
      <w:r>
        <w:rPr>
          <w:b/>
        </w:rPr>
        <w:t>3.2 固定效应模型下的亚组差异检验</w:t>
      </w:r>
    </w:p>
    <w:p w14:paraId="263822DE">
      <w:r>
        <w:t>Between groups Q=3.18, p=0.2044</w:t>
      </w:r>
    </w:p>
    <w:p w14:paraId="2ED26E2B">
      <w:r>
        <w:t>within groups Q=69.62, p&lt;0.0001</w:t>
      </w:r>
    </w:p>
    <w:p w14:paraId="7D8E501B">
      <w:pPr>
        <w:numPr>
          <w:ilvl w:val="0"/>
          <w:numId w:val="12"/>
        </w:numPr>
        <w:spacing w:before="0" w:after="0"/>
        <w:ind w:left="720" w:hanging="360"/>
      </w:pPr>
      <w:r>
        <w:rPr>
          <w:b/>
        </w:rPr>
        <w:t>解读</w:t>
      </w:r>
      <w:r>
        <w:t>：</w:t>
      </w:r>
    </w:p>
    <w:p w14:paraId="00305969">
      <w:pPr>
        <w:numPr>
          <w:ilvl w:val="1"/>
          <w:numId w:val="12"/>
        </w:numPr>
        <w:spacing w:before="0" w:after="0"/>
        <w:ind w:left="1440" w:hanging="360"/>
      </w:pPr>
      <w:r>
        <w:rPr>
          <w:b/>
        </w:rPr>
        <w:t>亚组间差异检验 (Between groups)</w:t>
      </w:r>
      <w:r>
        <w:t>:</w:t>
      </w:r>
      <w:r>
        <w:rPr>
          <w:b/>
        </w:rPr>
        <w:t>p=0.2044 &gt; 0.05</w:t>
      </w:r>
      <w:r>
        <w:t>。这表明，在固定效应模型框架下，</w:t>
      </w:r>
      <w:r>
        <w:rPr>
          <w:b/>
        </w:rPr>
        <w:t>不同发展时期亚组间的效应量差异没有统计学意义</w:t>
      </w:r>
      <w:r>
        <w:t>。</w:t>
      </w:r>
    </w:p>
    <w:p w14:paraId="05E4CD17">
      <w:pPr>
        <w:numPr>
          <w:ilvl w:val="1"/>
          <w:numId w:val="12"/>
        </w:numPr>
        <w:spacing w:before="0" w:after="0"/>
        <w:ind w:left="1440" w:hanging="360"/>
      </w:pPr>
      <w:r>
        <w:rPr>
          <w:b/>
        </w:rPr>
        <w:t>组内异质性 (Within groups)</w:t>
      </w:r>
      <w:r>
        <w:t>: 高度显著，主要来自早期青少年组。</w:t>
      </w:r>
    </w:p>
    <w:p w14:paraId="698BDEF7">
      <w:pPr>
        <w:pStyle w:val="3"/>
      </w:pPr>
      <w:r>
        <w:rPr>
          <w:b/>
        </w:rPr>
        <w:t>3.3 随机效应模型下的亚组结果</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384"/>
        <w:gridCol w:w="1384"/>
        <w:gridCol w:w="1384"/>
        <w:gridCol w:w="1384"/>
        <w:gridCol w:w="1384"/>
        <w:gridCol w:w="1384"/>
      </w:tblGrid>
      <w:tr w14:paraId="077B3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7845D74C">
            <w:pPr>
              <w:jc w:val="center"/>
              <w:rPr>
                <w:b/>
              </w:rPr>
            </w:pPr>
            <w:r>
              <w:rPr>
                <w:b/>
              </w:rPr>
              <w:t>亚组</w:t>
            </w:r>
          </w:p>
        </w:tc>
        <w:tc>
          <w:tcPr>
            <w:tcW w:w="0" w:type="auto"/>
            <w:tcMar>
              <w:left w:w="108" w:type="dxa"/>
              <w:right w:w="108" w:type="dxa"/>
            </w:tcMar>
            <w:vAlign w:val="center"/>
          </w:tcPr>
          <w:p w14:paraId="2D4F1937">
            <w:pPr>
              <w:jc w:val="center"/>
              <w:rPr>
                <w:b/>
              </w:rPr>
            </w:pPr>
            <w:r>
              <w:rPr>
                <w:b/>
              </w:rPr>
              <w:t>k</w:t>
            </w:r>
          </w:p>
        </w:tc>
        <w:tc>
          <w:tcPr>
            <w:tcW w:w="0" w:type="auto"/>
            <w:tcMar>
              <w:left w:w="108" w:type="dxa"/>
              <w:right w:w="108" w:type="dxa"/>
            </w:tcMar>
            <w:vAlign w:val="center"/>
          </w:tcPr>
          <w:p w14:paraId="5837337D">
            <w:pPr>
              <w:jc w:val="center"/>
              <w:rPr>
                <w:b/>
              </w:rPr>
            </w:pPr>
            <w:r>
              <w:rPr>
                <w:b/>
              </w:rPr>
              <w:t>SMD</w:t>
            </w:r>
          </w:p>
        </w:tc>
        <w:tc>
          <w:tcPr>
            <w:tcW w:w="0" w:type="auto"/>
            <w:tcMar>
              <w:left w:w="108" w:type="dxa"/>
              <w:right w:w="108" w:type="dxa"/>
            </w:tcMar>
            <w:vAlign w:val="center"/>
          </w:tcPr>
          <w:p w14:paraId="5A146BFA">
            <w:pPr>
              <w:jc w:val="center"/>
              <w:rPr>
                <w:b/>
              </w:rPr>
            </w:pPr>
            <w:r>
              <w:rPr>
                <w:b/>
              </w:rPr>
              <w:t>95%-CI</w:t>
            </w:r>
          </w:p>
        </w:tc>
        <w:tc>
          <w:tcPr>
            <w:tcW w:w="0" w:type="auto"/>
            <w:tcMar>
              <w:left w:w="108" w:type="dxa"/>
              <w:right w:w="108" w:type="dxa"/>
            </w:tcMar>
            <w:vAlign w:val="center"/>
          </w:tcPr>
          <w:p w14:paraId="5F7B15AE">
            <w:pPr>
              <w:jc w:val="center"/>
              <w:rPr>
                <w:b/>
              </w:rPr>
            </w:pPr>
            <w:r>
              <w:rPr>
                <w:b/>
              </w:rPr>
              <w:t>τ²</w:t>
            </w:r>
          </w:p>
        </w:tc>
        <w:tc>
          <w:tcPr>
            <w:tcW w:w="0" w:type="auto"/>
            <w:tcMar>
              <w:left w:w="108" w:type="dxa"/>
              <w:right w:w="108" w:type="dxa"/>
            </w:tcMar>
            <w:vAlign w:val="center"/>
          </w:tcPr>
          <w:p w14:paraId="7E3F9FDD">
            <w:pPr>
              <w:jc w:val="center"/>
              <w:rPr>
                <w:b/>
              </w:rPr>
            </w:pPr>
            <w:r>
              <w:rPr>
                <w:b/>
              </w:rPr>
              <w:t>τ</w:t>
            </w:r>
          </w:p>
        </w:tc>
      </w:tr>
      <w:tr w14:paraId="0D00E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6C740502">
            <w:r>
              <w:rPr>
                <w:b/>
              </w:rPr>
              <w:t>Early Adolescence (早期青少年)</w:t>
            </w:r>
          </w:p>
        </w:tc>
        <w:tc>
          <w:tcPr>
            <w:tcW w:w="0" w:type="auto"/>
            <w:tcMar>
              <w:left w:w="108" w:type="dxa"/>
              <w:right w:w="108" w:type="dxa"/>
            </w:tcMar>
            <w:vAlign w:val="center"/>
          </w:tcPr>
          <w:p w14:paraId="4E16F389">
            <w:r>
              <w:t>4</w:t>
            </w:r>
          </w:p>
        </w:tc>
        <w:tc>
          <w:tcPr>
            <w:tcW w:w="0" w:type="auto"/>
            <w:tcMar>
              <w:left w:w="108" w:type="dxa"/>
              <w:right w:w="108" w:type="dxa"/>
            </w:tcMar>
            <w:vAlign w:val="center"/>
          </w:tcPr>
          <w:p w14:paraId="08D93944">
            <w:r>
              <w:t>1.4363</w:t>
            </w:r>
          </w:p>
        </w:tc>
        <w:tc>
          <w:tcPr>
            <w:tcW w:w="0" w:type="auto"/>
            <w:tcMar>
              <w:left w:w="108" w:type="dxa"/>
              <w:right w:w="108" w:type="dxa"/>
            </w:tcMar>
            <w:vAlign w:val="center"/>
          </w:tcPr>
          <w:p w14:paraId="6C7A21D4">
            <w:r>
              <w:t>[-0.4498; 3.3223]</w:t>
            </w:r>
          </w:p>
        </w:tc>
        <w:tc>
          <w:tcPr>
            <w:tcW w:w="0" w:type="auto"/>
            <w:tcMar>
              <w:left w:w="108" w:type="dxa"/>
              <w:right w:w="108" w:type="dxa"/>
            </w:tcMar>
            <w:vAlign w:val="center"/>
          </w:tcPr>
          <w:p w14:paraId="45005754">
            <w:r>
              <w:t>3.5520</w:t>
            </w:r>
          </w:p>
        </w:tc>
        <w:tc>
          <w:tcPr>
            <w:tcW w:w="0" w:type="auto"/>
            <w:tcMar>
              <w:left w:w="108" w:type="dxa"/>
              <w:right w:w="108" w:type="dxa"/>
            </w:tcMar>
            <w:vAlign w:val="center"/>
          </w:tcPr>
          <w:p w14:paraId="4DB4446A">
            <w:r>
              <w:t>1.8847</w:t>
            </w:r>
          </w:p>
        </w:tc>
      </w:tr>
      <w:tr w14:paraId="7ECA8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31D7FC06">
            <w:bookmarkStart w:id="0" w:name="_GoBack"/>
            <w:r>
              <w:rPr>
                <w:b/>
              </w:rPr>
              <w:t>Childhood</w:t>
            </w:r>
            <w:bookmarkEnd w:id="0"/>
            <w:r>
              <w:rPr>
                <w:b/>
              </w:rPr>
              <w:t xml:space="preserve"> (儿童期)</w:t>
            </w:r>
          </w:p>
        </w:tc>
        <w:tc>
          <w:tcPr>
            <w:tcW w:w="0" w:type="auto"/>
            <w:tcMar>
              <w:left w:w="108" w:type="dxa"/>
              <w:right w:w="108" w:type="dxa"/>
            </w:tcMar>
            <w:vAlign w:val="center"/>
          </w:tcPr>
          <w:p w14:paraId="4BB633D7">
            <w:r>
              <w:t>12</w:t>
            </w:r>
          </w:p>
        </w:tc>
        <w:tc>
          <w:tcPr>
            <w:tcW w:w="0" w:type="auto"/>
            <w:tcMar>
              <w:left w:w="108" w:type="dxa"/>
              <w:right w:w="108" w:type="dxa"/>
            </w:tcMar>
            <w:vAlign w:val="center"/>
          </w:tcPr>
          <w:p w14:paraId="1D2C98A7">
            <w:r>
              <w:t>0.3305</w:t>
            </w:r>
          </w:p>
        </w:tc>
        <w:tc>
          <w:tcPr>
            <w:tcW w:w="0" w:type="auto"/>
            <w:tcMar>
              <w:left w:w="108" w:type="dxa"/>
              <w:right w:w="108" w:type="dxa"/>
            </w:tcMar>
            <w:vAlign w:val="center"/>
          </w:tcPr>
          <w:p w14:paraId="2312DF67">
            <w:r>
              <w:t>[0.2025; 0.4584]</w:t>
            </w:r>
          </w:p>
        </w:tc>
        <w:tc>
          <w:tcPr>
            <w:tcW w:w="0" w:type="auto"/>
            <w:tcMar>
              <w:left w:w="108" w:type="dxa"/>
              <w:right w:w="108" w:type="dxa"/>
            </w:tcMar>
            <w:vAlign w:val="center"/>
          </w:tcPr>
          <w:p w14:paraId="49C4D6A0">
            <w:r>
              <w:t>0.0025</w:t>
            </w:r>
          </w:p>
        </w:tc>
        <w:tc>
          <w:tcPr>
            <w:tcW w:w="0" w:type="auto"/>
            <w:tcMar>
              <w:left w:w="108" w:type="dxa"/>
              <w:right w:w="108" w:type="dxa"/>
            </w:tcMar>
            <w:vAlign w:val="center"/>
          </w:tcPr>
          <w:p w14:paraId="218CBAB0">
            <w:r>
              <w:t>0.0501</w:t>
            </w:r>
          </w:p>
        </w:tc>
      </w:tr>
      <w:tr w14:paraId="17CFA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6BF1BD88">
            <w:r>
              <w:rPr>
                <w:b/>
              </w:rPr>
              <w:t>Middle Adolescence (中期青少年)</w:t>
            </w:r>
          </w:p>
        </w:tc>
        <w:tc>
          <w:tcPr>
            <w:tcW w:w="0" w:type="auto"/>
            <w:tcMar>
              <w:left w:w="108" w:type="dxa"/>
              <w:right w:w="108" w:type="dxa"/>
            </w:tcMar>
            <w:vAlign w:val="center"/>
          </w:tcPr>
          <w:p w14:paraId="7D909226">
            <w:r>
              <w:t>1</w:t>
            </w:r>
          </w:p>
        </w:tc>
        <w:tc>
          <w:tcPr>
            <w:tcW w:w="0" w:type="auto"/>
            <w:tcMar>
              <w:left w:w="108" w:type="dxa"/>
              <w:right w:w="108" w:type="dxa"/>
            </w:tcMar>
            <w:vAlign w:val="center"/>
          </w:tcPr>
          <w:p w14:paraId="3B646B1C">
            <w:r>
              <w:t>0.1442</w:t>
            </w:r>
          </w:p>
        </w:tc>
        <w:tc>
          <w:tcPr>
            <w:tcW w:w="0" w:type="auto"/>
            <w:tcMar>
              <w:left w:w="108" w:type="dxa"/>
              <w:right w:w="108" w:type="dxa"/>
            </w:tcMar>
            <w:vAlign w:val="center"/>
          </w:tcPr>
          <w:p w14:paraId="59D0D0E5">
            <w:r>
              <w:t>[-0.0137; 0.3021]</w:t>
            </w:r>
          </w:p>
        </w:tc>
        <w:tc>
          <w:tcPr>
            <w:tcW w:w="0" w:type="auto"/>
            <w:tcMar>
              <w:left w:w="108" w:type="dxa"/>
              <w:right w:w="108" w:type="dxa"/>
            </w:tcMar>
            <w:vAlign w:val="center"/>
          </w:tcPr>
          <w:p w14:paraId="220C8B6C">
            <w:r>
              <w:t>--</w:t>
            </w:r>
          </w:p>
        </w:tc>
        <w:tc>
          <w:tcPr>
            <w:tcW w:w="0" w:type="auto"/>
            <w:tcMar>
              <w:left w:w="108" w:type="dxa"/>
              <w:right w:w="108" w:type="dxa"/>
            </w:tcMar>
            <w:vAlign w:val="center"/>
          </w:tcPr>
          <w:p w14:paraId="422A3A13">
            <w:r>
              <w:t>--</w:t>
            </w:r>
          </w:p>
        </w:tc>
      </w:tr>
    </w:tbl>
    <w:p w14:paraId="053C652E">
      <w:pPr>
        <w:numPr>
          <w:ilvl w:val="0"/>
          <w:numId w:val="13"/>
        </w:numPr>
        <w:spacing w:before="0" w:after="0"/>
        <w:ind w:left="720" w:hanging="360"/>
      </w:pPr>
      <w:r>
        <w:rPr>
          <w:b/>
        </w:rPr>
        <w:t>解读</w:t>
      </w:r>
      <w:r>
        <w:t>：</w:t>
      </w:r>
    </w:p>
    <w:p w14:paraId="48020486">
      <w:pPr>
        <w:numPr>
          <w:ilvl w:val="1"/>
          <w:numId w:val="13"/>
        </w:numPr>
        <w:spacing w:before="0" w:after="0"/>
        <w:ind w:left="1440" w:hanging="360"/>
      </w:pPr>
      <w:r>
        <w:rPr>
          <w:b/>
        </w:rPr>
        <w:t>早期青少年组</w:t>
      </w:r>
      <w:r>
        <w:t>：效应量点估计值变得</w:t>
      </w:r>
      <w:r>
        <w:rPr>
          <w:b/>
        </w:rPr>
        <w:t>极大</w:t>
      </w:r>
      <w:r>
        <w:t>（1.44），但</w:t>
      </w:r>
      <w:r>
        <w:rPr>
          <w:b/>
        </w:rPr>
        <w:t>置信区间极宽</w:t>
      </w:r>
      <w:r>
        <w:t>（-0.45 至 3.32），</w:t>
      </w:r>
      <w:r>
        <w:rPr>
          <w:b/>
        </w:rPr>
        <w:t>包含了0</w:t>
      </w:r>
      <w:r>
        <w:t>，意味着效应在统计上</w:t>
      </w:r>
      <w:r>
        <w:rPr>
          <w:b/>
        </w:rPr>
        <w:t>极不显著且高度不确定</w:t>
      </w:r>
      <w:r>
        <w:t>。巨大的τ²(3.55)证实了组内研究结果极度不一致。</w:t>
      </w:r>
    </w:p>
    <w:p w14:paraId="64A1D86B">
      <w:pPr>
        <w:numPr>
          <w:ilvl w:val="1"/>
          <w:numId w:val="13"/>
        </w:numPr>
        <w:spacing w:before="0" w:after="0"/>
        <w:ind w:left="1440" w:hanging="360"/>
      </w:pPr>
      <w:r>
        <w:rPr>
          <w:b/>
        </w:rPr>
        <w:t>儿童期组</w:t>
      </w:r>
      <w:r>
        <w:t>：效应量估计（0.33）和置信区间与固定效应模型非常接近，且τ²几乎为0，表明在随机效应模型下，该亚组的研究结果也是同质的，效应稳定。</w:t>
      </w:r>
    </w:p>
    <w:p w14:paraId="5BC5670B">
      <w:pPr>
        <w:numPr>
          <w:ilvl w:val="1"/>
          <w:numId w:val="13"/>
        </w:numPr>
        <w:spacing w:before="0" w:after="0"/>
        <w:ind w:left="1440" w:hanging="360"/>
      </w:pPr>
      <w:r>
        <w:rPr>
          <w:b/>
        </w:rPr>
        <w:t>中期青少年组</w:t>
      </w:r>
      <w:r>
        <w:t>：结果不变（单研究，不显著）。</w:t>
      </w:r>
    </w:p>
    <w:p w14:paraId="3FAEC41B">
      <w:pPr>
        <w:pStyle w:val="3"/>
      </w:pPr>
      <w:r>
        <w:rPr>
          <w:b/>
        </w:rPr>
        <w:t>3.4 随机效应模型下的亚组差异检验</w:t>
      </w:r>
    </w:p>
    <w:p w14:paraId="3AD8089E">
      <w:r>
        <w:t>Between groups Q=4.73, p=0.0941</w:t>
      </w:r>
    </w:p>
    <w:p w14:paraId="10BC08B3">
      <w:pPr>
        <w:numPr>
          <w:ilvl w:val="0"/>
          <w:numId w:val="14"/>
        </w:numPr>
        <w:spacing w:before="0" w:after="0"/>
        <w:ind w:left="720" w:hanging="360"/>
      </w:pPr>
      <w:r>
        <w:rPr>
          <w:b/>
        </w:rPr>
        <w:t>解读</w:t>
      </w:r>
      <w:r>
        <w:t>：</w:t>
      </w:r>
    </w:p>
    <w:p w14:paraId="5D67A15D">
      <w:pPr>
        <w:numPr>
          <w:ilvl w:val="1"/>
          <w:numId w:val="14"/>
        </w:numPr>
        <w:spacing w:before="0" w:after="0"/>
        <w:ind w:left="1440" w:hanging="360"/>
      </w:pPr>
      <w:r>
        <w:rPr>
          <w:b/>
        </w:rPr>
        <w:t>亚组间差异检验 (Between groups)</w:t>
      </w:r>
      <w:r>
        <w:t>:</w:t>
      </w:r>
      <w:r>
        <w:rPr>
          <w:b/>
        </w:rPr>
        <w:t>p=0.0941 &gt; 0.05</w:t>
      </w:r>
      <w:r>
        <w:t>。在更可靠的随机效应模型下，</w:t>
      </w:r>
      <w:r>
        <w:rPr>
          <w:b/>
        </w:rPr>
        <w:t>亚组间差异仍然未达到统计学上的显著性水平</w:t>
      </w:r>
      <w:r>
        <w:t>。</w:t>
      </w:r>
    </w:p>
    <w:p w14:paraId="243116D3">
      <w:pPr>
        <w:pStyle w:val="2"/>
      </w:pPr>
      <w:r>
        <w:rPr>
          <w:b/>
        </w:rPr>
        <w:t>总结与综合解读</w:t>
      </w:r>
    </w:p>
    <w:p w14:paraId="688F644F">
      <w:pPr>
        <w:numPr>
          <w:ilvl w:val="0"/>
          <w:numId w:val="15"/>
        </w:numPr>
        <w:spacing w:before="0" w:after="0"/>
        <w:ind w:left="720" w:hanging="360"/>
      </w:pPr>
      <w:r>
        <w:rPr>
          <w:b/>
        </w:rPr>
        <w:t>总体结论</w:t>
      </w:r>
      <w:r>
        <w:t>：该干预措施总体显示出</w:t>
      </w:r>
      <w:r>
        <w:rPr>
          <w:b/>
        </w:rPr>
        <w:t>显著的小到中度正效应</w:t>
      </w:r>
      <w:r>
        <w:t>，但研究间存在</w:t>
      </w:r>
      <w:r>
        <w:rPr>
          <w:b/>
        </w:rPr>
        <w:t>高异质性（I²=78%）</w:t>
      </w:r>
      <w:r>
        <w:t>。</w:t>
      </w:r>
    </w:p>
    <w:p w14:paraId="0991C5B1">
      <w:pPr>
        <w:numPr>
          <w:ilvl w:val="0"/>
          <w:numId w:val="15"/>
        </w:numPr>
        <w:spacing w:before="0" w:after="0"/>
        <w:ind w:left="720" w:hanging="360"/>
      </w:pPr>
      <w:r>
        <w:rPr>
          <w:b/>
        </w:rPr>
        <w:t>亚组分析的发现</w:t>
      </w:r>
      <w:r>
        <w:t>：</w:t>
      </w:r>
    </w:p>
    <w:p w14:paraId="26E96114">
      <w:pPr>
        <w:numPr>
          <w:ilvl w:val="1"/>
          <w:numId w:val="15"/>
        </w:numPr>
        <w:spacing w:before="0" w:after="0"/>
        <w:ind w:left="1440" w:hanging="360"/>
      </w:pPr>
      <w:r>
        <w:rPr>
          <w:b/>
        </w:rPr>
        <w:t>对于儿童期人群</w:t>
      </w:r>
      <w:r>
        <w:t>：干预效果最为稳定和可靠，表现为</w:t>
      </w:r>
      <w:r>
        <w:rPr>
          <w:b/>
        </w:rPr>
        <w:t>一致的小到中度正效应</w:t>
      </w:r>
      <w:r>
        <w:t>（SMD ≈ 0.32-0.33），且异质性极低。</w:t>
      </w:r>
    </w:p>
    <w:p w14:paraId="52BD16DA">
      <w:pPr>
        <w:numPr>
          <w:ilvl w:val="1"/>
          <w:numId w:val="15"/>
        </w:numPr>
        <w:spacing w:before="0" w:after="0"/>
        <w:ind w:left="1440" w:hanging="360"/>
      </w:pPr>
      <w:r>
        <w:rPr>
          <w:b/>
        </w:rPr>
        <w:t>对于早期青少年人群</w:t>
      </w:r>
      <w:r>
        <w:t>：研究结果</w:t>
      </w:r>
      <w:r>
        <w:rPr>
          <w:b/>
        </w:rPr>
        <w:t>极度不一致</w:t>
      </w:r>
      <w:r>
        <w:t>（I²=94.8%，τ²极大），无法得出确切结论。点估计值在两种模型间波动剧烈（从0.22到1.44），且随机效应模型下置信区间极宽，效果高度不确定。</w:t>
      </w:r>
    </w:p>
    <w:p w14:paraId="1307273F">
      <w:pPr>
        <w:numPr>
          <w:ilvl w:val="1"/>
          <w:numId w:val="15"/>
        </w:numPr>
        <w:spacing w:before="0" w:after="0"/>
        <w:ind w:left="1440" w:hanging="360"/>
      </w:pPr>
      <w:r>
        <w:rPr>
          <w:b/>
        </w:rPr>
        <w:t>对于中期青少年人群</w:t>
      </w:r>
      <w:r>
        <w:t>：仅有一项研究，证据不足，显示效应不显著。</w:t>
      </w:r>
    </w:p>
    <w:p w14:paraId="50DEA4FC">
      <w:pPr>
        <w:numPr>
          <w:ilvl w:val="1"/>
          <w:numId w:val="15"/>
        </w:numPr>
        <w:spacing w:before="0" w:after="0"/>
        <w:ind w:left="1440" w:hanging="360"/>
      </w:pPr>
      <w:r>
        <w:rPr>
          <w:b/>
        </w:rPr>
        <w:t>调节效应检验</w:t>
      </w:r>
      <w:r>
        <w:t>：无论在固定效应（p=0.204）还是随机效应模型（p=0.094）下，</w:t>
      </w:r>
      <w:r>
        <w:rPr>
          <w:b/>
        </w:rPr>
        <w:t>发展时期（年龄阶段）的调节作用均未达到统计学显著性</w:t>
      </w:r>
      <w:r>
        <w:t>。</w:t>
      </w:r>
    </w:p>
    <w:p w14:paraId="280676EF">
      <w:pPr>
        <w:numPr>
          <w:ilvl w:val="0"/>
          <w:numId w:val="15"/>
        </w:numPr>
        <w:spacing w:before="0" w:after="0"/>
        <w:ind w:left="720" w:hanging="360"/>
      </w:pPr>
      <w:r>
        <w:rPr>
          <w:b/>
        </w:rPr>
        <w:t>对研究与实践的启示</w:t>
      </w:r>
      <w:r>
        <w:t>：</w:t>
      </w:r>
    </w:p>
    <w:p w14:paraId="2C2556D2">
      <w:pPr>
        <w:numPr>
          <w:ilvl w:val="1"/>
          <w:numId w:val="15"/>
        </w:numPr>
        <w:spacing w:before="0" w:after="0"/>
        <w:ind w:left="1440" w:hanging="360"/>
      </w:pPr>
      <w:r>
        <w:t>该干预措施对</w:t>
      </w:r>
      <w:r>
        <w:rPr>
          <w:b/>
        </w:rPr>
        <w:t>儿童期人群</w:t>
      </w:r>
      <w:r>
        <w:t>很可能</w:t>
      </w:r>
      <w:r>
        <w:rPr>
          <w:b/>
        </w:rPr>
        <w:t>有效且效果稳定</w:t>
      </w:r>
      <w:r>
        <w:t>，是当前证据最支持的目标群体。</w:t>
      </w:r>
    </w:p>
    <w:p w14:paraId="7F3FBA49">
      <w:pPr>
        <w:numPr>
          <w:ilvl w:val="1"/>
          <w:numId w:val="15"/>
        </w:numPr>
        <w:spacing w:before="0" w:after="0"/>
        <w:ind w:left="1440" w:hanging="360"/>
      </w:pPr>
      <w:r>
        <w:t>其对</w:t>
      </w:r>
      <w:r>
        <w:rPr>
          <w:b/>
        </w:rPr>
        <w:t>青少年人群</w:t>
      </w:r>
      <w:r>
        <w:t>（尤其是早期青少年）的效果</w:t>
      </w:r>
      <w:r>
        <w:rPr>
          <w:b/>
        </w:rPr>
        <w:t>高度不确定</w:t>
      </w:r>
      <w:r>
        <w:t>，需要更多高质量、同质性的研究来探索。早期青少年组内极高的异质性提示可能存在其他未测量的重要调节变量（如具体干预内容、实施环境、性别差异等）。</w:t>
      </w:r>
    </w:p>
    <w:p w14:paraId="3F14FDD0">
      <w:pPr>
        <w:numPr>
          <w:ilvl w:val="1"/>
          <w:numId w:val="15"/>
        </w:numPr>
        <w:spacing w:before="0" w:after="0"/>
        <w:ind w:left="1440" w:hanging="360"/>
      </w:pPr>
      <w:r>
        <w:t>当前的元分析证据</w:t>
      </w:r>
      <w:r>
        <w:rPr>
          <w:b/>
        </w:rPr>
        <w:t>不支持</w:t>
      </w:r>
      <w:r>
        <w:t>简单地根据年龄阶段（儿童 vs. 青少年）来预测干预效果。但鉴于儿童期组证据坚实，而青少年组证据薄弱且矛盾，未来研究应重点澄清干预措施在青少年群体中的有效性和实施条件。</w:t>
      </w:r>
    </w:p>
    <w:p w14:paraId="790C97B8"/>
    <w:p w14:paraId="46071C6E">
      <w:r>
        <w:drawing>
          <wp:inline distT="0" distB="0" distL="114300" distR="114300">
            <wp:extent cx="5268595" cy="6299200"/>
            <wp:effectExtent l="0" t="0" r="8255"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8595" cy="6299200"/>
                    </a:xfrm>
                    <a:prstGeom prst="rect">
                      <a:avLst/>
                    </a:prstGeom>
                    <a:noFill/>
                    <a:ln>
                      <a:noFill/>
                    </a:ln>
                  </pic:spPr>
                </pic:pic>
              </a:graphicData>
            </a:graphic>
          </wp:inline>
        </w:drawing>
      </w:r>
    </w:p>
    <w:p w14:paraId="75DDA4BB">
      <w:r>
        <w:t>这份文件呈现了另一项</w:t>
      </w:r>
      <w:r>
        <w:rPr>
          <w:b/>
        </w:rPr>
        <w:t>元分析（Meta-analysis）</w:t>
      </w:r>
      <w:r>
        <w:t>的结果，其核心是探讨不同</w:t>
      </w:r>
      <w:r>
        <w:rPr>
          <w:b/>
        </w:rPr>
        <w:t>体重状况亚组（肥胖、超重、正常体重）</w:t>
      </w:r>
      <w:r>
        <w:t>对干预效果的调节作用。我将为您详细解读每一部分。</w:t>
      </w:r>
    </w:p>
    <w:p w14:paraId="33F8F9D2">
      <w:pPr>
        <w:pStyle w:val="2"/>
      </w:pPr>
      <w:r>
        <w:rPr>
          <w:b/>
        </w:rPr>
        <w:t>整体研究概况</w:t>
      </w:r>
    </w:p>
    <w:p w14:paraId="74A94654">
      <w:pPr>
        <w:numPr>
          <w:ilvl w:val="0"/>
          <w:numId w:val="16"/>
        </w:numPr>
        <w:spacing w:before="0" w:after="0"/>
        <w:ind w:left="720" w:hanging="360"/>
      </w:pPr>
      <w:r>
        <w:rPr>
          <w:b/>
        </w:rPr>
        <w:t>Number of studies: ( k = 8 )</w:t>
      </w:r>
      <w:r>
        <w:t>： 共纳入</w:t>
      </w:r>
      <w:r>
        <w:rPr>
          <w:b/>
        </w:rPr>
        <w:t>8</w:t>
      </w:r>
      <w:r>
        <w:t>项研究。</w:t>
      </w:r>
    </w:p>
    <w:p w14:paraId="0BB3E2FA">
      <w:pPr>
        <w:numPr>
          <w:ilvl w:val="0"/>
          <w:numId w:val="16"/>
        </w:numPr>
        <w:spacing w:before="0" w:after="0"/>
        <w:ind w:left="720" w:hanging="360"/>
      </w:pPr>
      <w:r>
        <w:rPr>
          <w:b/>
        </w:rPr>
        <w:t>Number of observations: ( o = 432 )</w:t>
      </w:r>
      <w:r>
        <w:t>： 总样本量为</w:t>
      </w:r>
      <w:r>
        <w:rPr>
          <w:b/>
        </w:rPr>
        <w:t>432</w:t>
      </w:r>
      <w:r>
        <w:t>名受试者。</w:t>
      </w:r>
    </w:p>
    <w:p w14:paraId="3C56AC3E">
      <w:pPr>
        <w:numPr>
          <w:ilvl w:val="1"/>
          <w:numId w:val="16"/>
        </w:numPr>
        <w:spacing w:before="0" w:after="0"/>
        <w:ind w:left="1440" w:hanging="360"/>
      </w:pPr>
      <w:r>
        <w:t>o.e = 205： 实验组人数。</w:t>
      </w:r>
    </w:p>
    <w:p w14:paraId="78585DE4">
      <w:pPr>
        <w:numPr>
          <w:ilvl w:val="1"/>
          <w:numId w:val="16"/>
        </w:numPr>
        <w:spacing w:before="0" w:after="0"/>
        <w:ind w:left="1440" w:hanging="360"/>
      </w:pPr>
      <w:r>
        <w:t>o.c = 227： 对照组人数。</w:t>
      </w:r>
    </w:p>
    <w:p w14:paraId="001F02BA">
      <w:pPr>
        <w:numPr>
          <w:ilvl w:val="0"/>
          <w:numId w:val="16"/>
        </w:numPr>
        <w:spacing w:before="0" w:after="0"/>
        <w:ind w:left="720" w:hanging="360"/>
      </w:pPr>
      <w:r>
        <w:rPr>
          <w:b/>
        </w:rPr>
        <w:t>注意</w:t>
      </w:r>
      <w:r>
        <w:t>：此分析的样本量和研究数均少于上一份报告。</w:t>
      </w:r>
    </w:p>
    <w:p w14:paraId="027CAA59">
      <w:pPr>
        <w:pStyle w:val="2"/>
      </w:pPr>
      <w:r>
        <w:rPr>
          <w:b/>
        </w:rPr>
        <w:t>1. 总效应汇总</w:t>
      </w:r>
    </w:p>
    <w:p w14:paraId="21025008">
      <w:pPr>
        <w:pStyle w:val="3"/>
      </w:pPr>
      <w:r>
        <w:rPr>
          <w:b/>
        </w:rPr>
        <w:t>Common effect model（固定效应模型）</w:t>
      </w:r>
    </w:p>
    <w:p w14:paraId="3A21E931">
      <w:pPr>
        <w:numPr>
          <w:ilvl w:val="0"/>
          <w:numId w:val="17"/>
        </w:numPr>
        <w:spacing w:before="0" w:after="0"/>
        <w:ind w:left="720" w:hanging="360"/>
      </w:pPr>
      <w:r>
        <w:rPr>
          <w:b/>
        </w:rPr>
        <w:t>SMD = 0.6099 [0.4084; 0.8114]</w:t>
      </w:r>
      <w:r>
        <w:t>： 汇总效应量为中等偏大（约0.61个标准差），且效应显著（CI不含0）。</w:t>
      </w:r>
    </w:p>
    <w:p w14:paraId="07A971A5">
      <w:pPr>
        <w:numPr>
          <w:ilvl w:val="0"/>
          <w:numId w:val="17"/>
        </w:numPr>
        <w:spacing w:before="0" w:after="0"/>
        <w:ind w:left="720" w:hanging="360"/>
      </w:pPr>
      <w:r>
        <w:rPr>
          <w:b/>
        </w:rPr>
        <w:t>z = 5.93, p &lt; 0.0001</w:t>
      </w:r>
      <w:r>
        <w:t>： 统计检验高度显著。</w:t>
      </w:r>
    </w:p>
    <w:p w14:paraId="30C73E48">
      <w:pPr>
        <w:pStyle w:val="3"/>
      </w:pPr>
      <w:r>
        <w:rPr>
          <w:b/>
        </w:rPr>
        <w:t>Random effects model（随机效应模型）</w:t>
      </w:r>
    </w:p>
    <w:p w14:paraId="7F4EEB55">
      <w:pPr>
        <w:numPr>
          <w:ilvl w:val="0"/>
          <w:numId w:val="18"/>
        </w:numPr>
        <w:spacing w:before="0" w:after="0"/>
        <w:ind w:left="720" w:hanging="360"/>
      </w:pPr>
      <w:r>
        <w:rPr>
          <w:b/>
        </w:rPr>
        <w:t>SMD = 1.0159 [0.1710; 1.8608]</w:t>
      </w:r>
      <w:r>
        <w:t>： 汇总效应量变为</w:t>
      </w:r>
      <w:r>
        <w:rPr>
          <w:b/>
        </w:rPr>
        <w:t>大效应（&gt;0.8）</w:t>
      </w:r>
      <w:r>
        <w:t>，但置信区间</w:t>
      </w:r>
      <w:r>
        <w:rPr>
          <w:b/>
        </w:rPr>
        <w:t>极宽</w:t>
      </w:r>
      <w:r>
        <w:t>（从很小的正效应到极大的正效应），表明估计</w:t>
      </w:r>
      <w:r>
        <w:rPr>
          <w:b/>
        </w:rPr>
        <w:t>非常不确定</w:t>
      </w:r>
      <w:r>
        <w:t>。</w:t>
      </w:r>
    </w:p>
    <w:p w14:paraId="3D46FDF2">
      <w:pPr>
        <w:numPr>
          <w:ilvl w:val="0"/>
          <w:numId w:val="18"/>
        </w:numPr>
        <w:spacing w:before="0" w:after="0"/>
        <w:ind w:left="720" w:hanging="360"/>
      </w:pPr>
      <w:r>
        <w:rPr>
          <w:b/>
        </w:rPr>
        <w:t>z = 2.36, p = 0.0184</w:t>
      </w:r>
      <w:r>
        <w:t>： 虽然仍显著（p&lt;0.05），但置信区间已接近包含0，稳定性差。</w:t>
      </w:r>
    </w:p>
    <w:p w14:paraId="5604C6B5">
      <w:r>
        <w:rPr>
          <w:b/>
        </w:rPr>
        <w:t>关键点</w:t>
      </w:r>
      <w:r>
        <w:t>：随机效应模型的结果（SMD=1.02）远大于固定效应模型（SMD=0.61），这通常是由于存在高异质性且小样本研究具有大效应量，导致权重重新分配。</w:t>
      </w:r>
    </w:p>
    <w:p w14:paraId="34D5DCE0">
      <w:pPr>
        <w:pStyle w:val="2"/>
      </w:pPr>
      <w:r>
        <w:rPr>
          <w:b/>
        </w:rPr>
        <w:t>2. 异质性分析</w:t>
      </w:r>
    </w:p>
    <w:p w14:paraId="61533207">
      <w:pPr>
        <w:numPr>
          <w:ilvl w:val="0"/>
          <w:numId w:val="19"/>
        </w:numPr>
        <w:spacing w:before="0" w:after="0"/>
        <w:ind w:left="720" w:hanging="360"/>
      </w:pPr>
      <w:r>
        <w:rPr>
          <w:b/>
        </w:rPr>
        <w:t>tau² = 1.3658</w:t>
      </w:r>
      <w:r>
        <w:t>: 研究间真实效应量的方差估计值</w:t>
      </w:r>
      <w:r>
        <w:rPr>
          <w:b/>
        </w:rPr>
        <w:t>非常大</w:t>
      </w:r>
      <w:r>
        <w:t>，表明异质性极高。</w:t>
      </w:r>
    </w:p>
    <w:p w14:paraId="550A26FD">
      <w:pPr>
        <w:numPr>
          <w:ilvl w:val="0"/>
          <w:numId w:val="19"/>
        </w:numPr>
        <w:spacing w:before="0" w:after="0"/>
        <w:ind w:left="720" w:hanging="360"/>
      </w:pPr>
      <w:r>
        <w:rPr>
          <w:b/>
        </w:rPr>
        <w:t>I² = 85.7%</w:t>
      </w:r>
      <w:r>
        <w:t>:</w:t>
      </w:r>
      <w:r>
        <w:rPr>
          <w:b/>
        </w:rPr>
        <w:t>超过85%</w:t>
      </w:r>
      <w:r>
        <w:t>的效应量变异由研究间的真实差异（异质性）引起，属于</w:t>
      </w:r>
      <w:r>
        <w:rPr>
          <w:b/>
        </w:rPr>
        <w:t>极高的异质性</w:t>
      </w:r>
      <w:r>
        <w:t>。</w:t>
      </w:r>
    </w:p>
    <w:p w14:paraId="28025AB9">
      <w:pPr>
        <w:numPr>
          <w:ilvl w:val="0"/>
          <w:numId w:val="19"/>
        </w:numPr>
        <w:spacing w:before="0" w:after="0"/>
        <w:ind w:left="720" w:hanging="360"/>
      </w:pPr>
      <w:r>
        <w:rPr>
          <w:b/>
        </w:rPr>
        <w:t>Q检验 (Q=49.07, p&lt;0.0001)</w:t>
      </w:r>
      <w:r>
        <w:t>： 证实研究间存在统计学上的显著异质性。</w:t>
      </w:r>
    </w:p>
    <w:p w14:paraId="37F48550">
      <w:r>
        <w:rPr>
          <w:b/>
        </w:rPr>
        <w:t>结论</w:t>
      </w:r>
      <w:r>
        <w:t>：由于存在</w:t>
      </w:r>
      <w:r>
        <w:rPr>
          <w:b/>
        </w:rPr>
        <w:t>极高的、显著的异质性</w:t>
      </w:r>
      <w:r>
        <w:t>，</w:t>
      </w:r>
      <w:r>
        <w:rPr>
          <w:b/>
        </w:rPr>
        <w:t>随机效应模型的结果比固定效应模型更可靠</w:t>
      </w:r>
      <w:r>
        <w:t>，但同时也警告我们，汇总效应量的估计非常不稳定，必须通过亚组分析探寻异质性来源。</w:t>
      </w:r>
    </w:p>
    <w:p w14:paraId="08A80D2C">
      <w:pPr>
        <w:pStyle w:val="2"/>
      </w:pPr>
      <w:r>
        <w:rPr>
          <w:b/>
        </w:rPr>
        <w:t>3. 亚组分析：按体重状况分层</w:t>
      </w:r>
    </w:p>
    <w:p w14:paraId="2B7135BD">
      <w:r>
        <w:t>分析旨在回答：干预效果是否因研究对象的基础体重状况（肥胖、超重、正常体重）不同而存在差异？</w:t>
      </w:r>
    </w:p>
    <w:p w14:paraId="1CC08599">
      <w:pPr>
        <w:pStyle w:val="3"/>
      </w:pPr>
      <w:r>
        <w:rPr>
          <w:b/>
        </w:rPr>
        <w:t>3.1 固定效应模型下的亚组结果</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384"/>
        <w:gridCol w:w="1384"/>
        <w:gridCol w:w="1384"/>
        <w:gridCol w:w="1384"/>
        <w:gridCol w:w="1384"/>
        <w:gridCol w:w="1384"/>
      </w:tblGrid>
      <w:tr w14:paraId="321F9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FD6A32F">
            <w:pPr>
              <w:jc w:val="center"/>
              <w:rPr>
                <w:b/>
              </w:rPr>
            </w:pPr>
            <w:r>
              <w:rPr>
                <w:b/>
              </w:rPr>
              <w:t>亚组</w:t>
            </w:r>
          </w:p>
        </w:tc>
        <w:tc>
          <w:tcPr>
            <w:tcW w:w="0" w:type="auto"/>
            <w:tcMar>
              <w:left w:w="108" w:type="dxa"/>
              <w:right w:w="108" w:type="dxa"/>
            </w:tcMar>
            <w:vAlign w:val="center"/>
          </w:tcPr>
          <w:p w14:paraId="2C39BF20">
            <w:pPr>
              <w:jc w:val="center"/>
              <w:rPr>
                <w:b/>
              </w:rPr>
            </w:pPr>
            <w:r>
              <w:rPr>
                <w:b/>
              </w:rPr>
              <w:t>k</w:t>
            </w:r>
          </w:p>
        </w:tc>
        <w:tc>
          <w:tcPr>
            <w:tcW w:w="0" w:type="auto"/>
            <w:tcMar>
              <w:left w:w="108" w:type="dxa"/>
              <w:right w:w="108" w:type="dxa"/>
            </w:tcMar>
            <w:vAlign w:val="center"/>
          </w:tcPr>
          <w:p w14:paraId="291A0B71">
            <w:pPr>
              <w:jc w:val="center"/>
              <w:rPr>
                <w:b/>
              </w:rPr>
            </w:pPr>
            <w:r>
              <w:rPr>
                <w:b/>
              </w:rPr>
              <w:t>SMD</w:t>
            </w:r>
          </w:p>
        </w:tc>
        <w:tc>
          <w:tcPr>
            <w:tcW w:w="0" w:type="auto"/>
            <w:tcMar>
              <w:left w:w="108" w:type="dxa"/>
              <w:right w:w="108" w:type="dxa"/>
            </w:tcMar>
            <w:vAlign w:val="center"/>
          </w:tcPr>
          <w:p w14:paraId="4D4E7A13">
            <w:pPr>
              <w:jc w:val="center"/>
              <w:rPr>
                <w:b/>
              </w:rPr>
            </w:pPr>
            <w:r>
              <w:rPr>
                <w:b/>
              </w:rPr>
              <w:t>95%-CI</w:t>
            </w:r>
          </w:p>
        </w:tc>
        <w:tc>
          <w:tcPr>
            <w:tcW w:w="0" w:type="auto"/>
            <w:tcMar>
              <w:left w:w="108" w:type="dxa"/>
              <w:right w:w="108" w:type="dxa"/>
            </w:tcMar>
            <w:vAlign w:val="center"/>
          </w:tcPr>
          <w:p w14:paraId="218E3019">
            <w:pPr>
              <w:jc w:val="center"/>
              <w:rPr>
                <w:b/>
              </w:rPr>
            </w:pPr>
            <w:r>
              <w:rPr>
                <w:b/>
              </w:rPr>
              <w:t>Q</w:t>
            </w:r>
          </w:p>
        </w:tc>
        <w:tc>
          <w:tcPr>
            <w:tcW w:w="0" w:type="auto"/>
            <w:tcMar>
              <w:left w:w="108" w:type="dxa"/>
              <w:right w:w="108" w:type="dxa"/>
            </w:tcMar>
            <w:vAlign w:val="center"/>
          </w:tcPr>
          <w:p w14:paraId="4C2664CD">
            <w:pPr>
              <w:jc w:val="center"/>
              <w:rPr>
                <w:b/>
              </w:rPr>
            </w:pPr>
            <w:r>
              <w:rPr>
                <w:b/>
              </w:rPr>
              <w:t>I²</w:t>
            </w:r>
          </w:p>
        </w:tc>
      </w:tr>
      <w:tr w14:paraId="44EFD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1E64AF2">
            <w:r>
              <w:rPr>
                <w:b/>
              </w:rPr>
              <w:t>Obesity (肥胖)</w:t>
            </w:r>
          </w:p>
        </w:tc>
        <w:tc>
          <w:tcPr>
            <w:tcW w:w="0" w:type="auto"/>
            <w:tcMar>
              <w:left w:w="108" w:type="dxa"/>
              <w:right w:w="108" w:type="dxa"/>
            </w:tcMar>
            <w:vAlign w:val="center"/>
          </w:tcPr>
          <w:p w14:paraId="0D7FE7E3">
            <w:r>
              <w:t>1</w:t>
            </w:r>
          </w:p>
        </w:tc>
        <w:tc>
          <w:tcPr>
            <w:tcW w:w="0" w:type="auto"/>
            <w:tcMar>
              <w:left w:w="108" w:type="dxa"/>
              <w:right w:w="108" w:type="dxa"/>
            </w:tcMar>
            <w:vAlign w:val="center"/>
          </w:tcPr>
          <w:p w14:paraId="3D53640E">
            <w:r>
              <w:t>1.3536</w:t>
            </w:r>
          </w:p>
        </w:tc>
        <w:tc>
          <w:tcPr>
            <w:tcW w:w="0" w:type="auto"/>
            <w:tcMar>
              <w:left w:w="108" w:type="dxa"/>
              <w:right w:w="108" w:type="dxa"/>
            </w:tcMar>
            <w:vAlign w:val="center"/>
          </w:tcPr>
          <w:p w14:paraId="61BF203F">
            <w:r>
              <w:t>[0.5207; 2.1866]</w:t>
            </w:r>
          </w:p>
        </w:tc>
        <w:tc>
          <w:tcPr>
            <w:tcW w:w="0" w:type="auto"/>
            <w:tcMar>
              <w:left w:w="108" w:type="dxa"/>
              <w:right w:w="108" w:type="dxa"/>
            </w:tcMar>
            <w:vAlign w:val="center"/>
          </w:tcPr>
          <w:p w14:paraId="755D1A42">
            <w:r>
              <w:t>0.00</w:t>
            </w:r>
          </w:p>
        </w:tc>
        <w:tc>
          <w:tcPr>
            <w:tcW w:w="0" w:type="auto"/>
            <w:tcMar>
              <w:left w:w="108" w:type="dxa"/>
              <w:right w:w="108" w:type="dxa"/>
            </w:tcMar>
            <w:vAlign w:val="center"/>
          </w:tcPr>
          <w:p w14:paraId="765D7622">
            <w:r>
              <w:t>--</w:t>
            </w:r>
          </w:p>
        </w:tc>
      </w:tr>
      <w:tr w14:paraId="01AB9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B233A07">
            <w:r>
              <w:rPr>
                <w:b/>
              </w:rPr>
              <w:t>Overweight (超重)</w:t>
            </w:r>
          </w:p>
        </w:tc>
        <w:tc>
          <w:tcPr>
            <w:tcW w:w="0" w:type="auto"/>
            <w:tcMar>
              <w:left w:w="108" w:type="dxa"/>
              <w:right w:w="108" w:type="dxa"/>
            </w:tcMar>
            <w:vAlign w:val="center"/>
          </w:tcPr>
          <w:p w14:paraId="6B64C345">
            <w:r>
              <w:t>3</w:t>
            </w:r>
          </w:p>
        </w:tc>
        <w:tc>
          <w:tcPr>
            <w:tcW w:w="0" w:type="auto"/>
            <w:tcMar>
              <w:left w:w="108" w:type="dxa"/>
              <w:right w:w="108" w:type="dxa"/>
            </w:tcMar>
            <w:vAlign w:val="center"/>
          </w:tcPr>
          <w:p w14:paraId="0E5BEF6A">
            <w:r>
              <w:t>0.9204</w:t>
            </w:r>
          </w:p>
        </w:tc>
        <w:tc>
          <w:tcPr>
            <w:tcW w:w="0" w:type="auto"/>
            <w:tcMar>
              <w:left w:w="108" w:type="dxa"/>
              <w:right w:w="108" w:type="dxa"/>
            </w:tcMar>
            <w:vAlign w:val="center"/>
          </w:tcPr>
          <w:p w14:paraId="1F52C917">
            <w:r>
              <w:t>[0.5563; 1.2845]</w:t>
            </w:r>
          </w:p>
        </w:tc>
        <w:tc>
          <w:tcPr>
            <w:tcW w:w="0" w:type="auto"/>
            <w:tcMar>
              <w:left w:w="108" w:type="dxa"/>
              <w:right w:w="108" w:type="dxa"/>
            </w:tcMar>
            <w:vAlign w:val="center"/>
          </w:tcPr>
          <w:p w14:paraId="03891703">
            <w:r>
              <w:t>36.52</w:t>
            </w:r>
          </w:p>
        </w:tc>
        <w:tc>
          <w:tcPr>
            <w:tcW w:w="0" w:type="auto"/>
            <w:tcMar>
              <w:left w:w="108" w:type="dxa"/>
              <w:right w:w="108" w:type="dxa"/>
            </w:tcMar>
            <w:vAlign w:val="center"/>
          </w:tcPr>
          <w:p w14:paraId="0098181B">
            <w:r>
              <w:t>94.5%</w:t>
            </w:r>
          </w:p>
        </w:tc>
      </w:tr>
      <w:tr w14:paraId="06FB8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399A720">
            <w:r>
              <w:rPr>
                <w:b/>
              </w:rPr>
              <w:t>Normal weight (正常体重)</w:t>
            </w:r>
          </w:p>
        </w:tc>
        <w:tc>
          <w:tcPr>
            <w:tcW w:w="0" w:type="auto"/>
            <w:tcMar>
              <w:left w:w="108" w:type="dxa"/>
              <w:right w:w="108" w:type="dxa"/>
            </w:tcMar>
            <w:vAlign w:val="center"/>
          </w:tcPr>
          <w:p w14:paraId="324C1EF9">
            <w:r>
              <w:t>4</w:t>
            </w:r>
          </w:p>
        </w:tc>
        <w:tc>
          <w:tcPr>
            <w:tcW w:w="0" w:type="auto"/>
            <w:tcMar>
              <w:left w:w="108" w:type="dxa"/>
              <w:right w:w="108" w:type="dxa"/>
            </w:tcMar>
            <w:vAlign w:val="center"/>
          </w:tcPr>
          <w:p w14:paraId="7C5B6CF7">
            <w:r>
              <w:t>0.3916</w:t>
            </w:r>
          </w:p>
        </w:tc>
        <w:tc>
          <w:tcPr>
            <w:tcW w:w="0" w:type="auto"/>
            <w:tcMar>
              <w:left w:w="108" w:type="dxa"/>
              <w:right w:w="108" w:type="dxa"/>
            </w:tcMar>
            <w:vAlign w:val="center"/>
          </w:tcPr>
          <w:p w14:paraId="199A16FD">
            <w:r>
              <w:t>[0.1388; 0.6445]</w:t>
            </w:r>
          </w:p>
        </w:tc>
        <w:tc>
          <w:tcPr>
            <w:tcW w:w="0" w:type="auto"/>
            <w:tcMar>
              <w:left w:w="108" w:type="dxa"/>
              <w:right w:w="108" w:type="dxa"/>
            </w:tcMar>
            <w:vAlign w:val="center"/>
          </w:tcPr>
          <w:p w14:paraId="19FB905E">
            <w:r>
              <w:t>3.83</w:t>
            </w:r>
          </w:p>
        </w:tc>
        <w:tc>
          <w:tcPr>
            <w:tcW w:w="0" w:type="auto"/>
            <w:tcMar>
              <w:left w:w="108" w:type="dxa"/>
              <w:right w:w="108" w:type="dxa"/>
            </w:tcMar>
            <w:vAlign w:val="center"/>
          </w:tcPr>
          <w:p w14:paraId="6EA2B182">
            <w:r>
              <w:t>21.7%</w:t>
            </w:r>
          </w:p>
        </w:tc>
      </w:tr>
    </w:tbl>
    <w:p w14:paraId="36F189C7">
      <w:pPr>
        <w:numPr>
          <w:ilvl w:val="0"/>
          <w:numId w:val="20"/>
        </w:numPr>
        <w:spacing w:before="0" w:after="0"/>
        <w:ind w:left="720" w:hanging="360"/>
      </w:pPr>
      <w:r>
        <w:rPr>
          <w:b/>
        </w:rPr>
        <w:t>解读</w:t>
      </w:r>
      <w:r>
        <w:t>：</w:t>
      </w:r>
    </w:p>
    <w:p w14:paraId="4066B998">
      <w:pPr>
        <w:numPr>
          <w:ilvl w:val="1"/>
          <w:numId w:val="20"/>
        </w:numPr>
        <w:spacing w:before="0" w:after="0"/>
        <w:ind w:left="1440" w:hanging="360"/>
      </w:pPr>
      <w:r>
        <w:rPr>
          <w:b/>
        </w:rPr>
        <w:t>肥胖组</w:t>
      </w:r>
      <w:r>
        <w:t>：仅1项研究，显示</w:t>
      </w:r>
      <w:r>
        <w:rPr>
          <w:b/>
        </w:rPr>
        <w:t>极大效应</w:t>
      </w:r>
      <w:r>
        <w:t>（SMD&gt;1.3），但缺乏组内异质性计算。</w:t>
      </w:r>
    </w:p>
    <w:p w14:paraId="563D4E74">
      <w:pPr>
        <w:numPr>
          <w:ilvl w:val="1"/>
          <w:numId w:val="20"/>
        </w:numPr>
        <w:spacing w:before="0" w:after="0"/>
        <w:ind w:left="1440" w:hanging="360"/>
      </w:pPr>
      <w:r>
        <w:rPr>
          <w:b/>
        </w:rPr>
        <w:t>超重组</w:t>
      </w:r>
      <w:r>
        <w:t>：3项研究，汇总效应</w:t>
      </w:r>
      <w:r>
        <w:rPr>
          <w:b/>
        </w:rPr>
        <w:t>大</w:t>
      </w:r>
      <w:r>
        <w:t>（SMD≈0.92），但组内</w:t>
      </w:r>
      <w:r>
        <w:rPr>
          <w:b/>
        </w:rPr>
        <w:t>异质性极高</w:t>
      </w:r>
      <w:r>
        <w:t>（I²=94.5%），说明这3个研究的结果极不一致。</w:t>
      </w:r>
    </w:p>
    <w:p w14:paraId="4DF911D1">
      <w:pPr>
        <w:numPr>
          <w:ilvl w:val="1"/>
          <w:numId w:val="20"/>
        </w:numPr>
        <w:spacing w:before="0" w:after="0"/>
        <w:ind w:left="1440" w:hanging="360"/>
      </w:pPr>
      <w:r>
        <w:rPr>
          <w:b/>
        </w:rPr>
        <w:t>正常体重组</w:t>
      </w:r>
      <w:r>
        <w:t>：4项研究，汇总效应为</w:t>
      </w:r>
      <w:r>
        <w:rPr>
          <w:b/>
        </w:rPr>
        <w:t>小到中度</w:t>
      </w:r>
      <w:r>
        <w:t>（SMD≈0.39），且组内异质性</w:t>
      </w:r>
      <w:r>
        <w:rPr>
          <w:b/>
        </w:rPr>
        <w:t>低</w:t>
      </w:r>
      <w:r>
        <w:t>（I²=21.7%），结果相对稳定、一致。</w:t>
      </w:r>
    </w:p>
    <w:p w14:paraId="22D1C805">
      <w:pPr>
        <w:pStyle w:val="3"/>
      </w:pPr>
      <w:r>
        <w:rPr>
          <w:b/>
        </w:rPr>
        <w:t>3.2 固定效应模型下的亚组差异检验</w:t>
      </w:r>
    </w:p>
    <w:p w14:paraId="517C5737">
      <w:r>
        <w:t>Between groups Q=8.72, p=0.0128</w:t>
      </w:r>
    </w:p>
    <w:p w14:paraId="261B833D">
      <w:r>
        <w:t>within groups Q=40.35, p&lt;0.0001</w:t>
      </w:r>
    </w:p>
    <w:p w14:paraId="77664B1D">
      <w:pPr>
        <w:numPr>
          <w:ilvl w:val="0"/>
          <w:numId w:val="21"/>
        </w:numPr>
        <w:spacing w:before="0" w:after="0"/>
        <w:ind w:left="720" w:hanging="360"/>
      </w:pPr>
      <w:r>
        <w:rPr>
          <w:b/>
        </w:rPr>
        <w:t>解读</w:t>
      </w:r>
      <w:r>
        <w:t>：</w:t>
      </w:r>
    </w:p>
    <w:p w14:paraId="5F54F90D">
      <w:pPr>
        <w:numPr>
          <w:ilvl w:val="1"/>
          <w:numId w:val="21"/>
        </w:numPr>
        <w:spacing w:before="0" w:after="0"/>
        <w:ind w:left="1440" w:hanging="360"/>
      </w:pPr>
      <w:r>
        <w:rPr>
          <w:b/>
        </w:rPr>
        <w:t>亚组间差异检验 (Between groups)</w:t>
      </w:r>
      <w:r>
        <w:t>:</w:t>
      </w:r>
      <w:r>
        <w:rPr>
          <w:b/>
        </w:rPr>
        <w:t>p=0.0128 &lt; 0.05</w:t>
      </w:r>
      <w:r>
        <w:t>。这是一个</w:t>
      </w:r>
      <w:r>
        <w:rPr>
          <w:b/>
        </w:rPr>
        <w:t>关键发现</w:t>
      </w:r>
      <w:r>
        <w:t>。它表明，在固定效应模型框架下，</w:t>
      </w:r>
      <w:r>
        <w:rPr>
          <w:b/>
        </w:rPr>
        <w:t>不同体重亚组间的效应量存在统计学上的显著差异</w:t>
      </w:r>
      <w:r>
        <w:t>。即体重状况可能是一个显著的调节变量。</w:t>
      </w:r>
    </w:p>
    <w:p w14:paraId="69DCEB43">
      <w:pPr>
        <w:pStyle w:val="3"/>
      </w:pPr>
      <w:r>
        <w:rPr>
          <w:b/>
        </w:rPr>
        <w:t>3.3 随机效应模型下的亚组结果</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384"/>
        <w:gridCol w:w="1384"/>
        <w:gridCol w:w="1384"/>
        <w:gridCol w:w="1384"/>
        <w:gridCol w:w="1384"/>
        <w:gridCol w:w="1384"/>
      </w:tblGrid>
      <w:tr w14:paraId="69F0B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3DCFCFD8">
            <w:pPr>
              <w:jc w:val="center"/>
              <w:rPr>
                <w:b/>
              </w:rPr>
            </w:pPr>
            <w:r>
              <w:rPr>
                <w:b/>
              </w:rPr>
              <w:t>亚组</w:t>
            </w:r>
          </w:p>
        </w:tc>
        <w:tc>
          <w:tcPr>
            <w:tcW w:w="0" w:type="auto"/>
            <w:tcMar>
              <w:left w:w="108" w:type="dxa"/>
              <w:right w:w="108" w:type="dxa"/>
            </w:tcMar>
            <w:vAlign w:val="center"/>
          </w:tcPr>
          <w:p w14:paraId="7D1DDA73">
            <w:pPr>
              <w:jc w:val="center"/>
              <w:rPr>
                <w:b/>
              </w:rPr>
            </w:pPr>
            <w:r>
              <w:rPr>
                <w:b/>
              </w:rPr>
              <w:t>k</w:t>
            </w:r>
          </w:p>
        </w:tc>
        <w:tc>
          <w:tcPr>
            <w:tcW w:w="0" w:type="auto"/>
            <w:tcMar>
              <w:left w:w="108" w:type="dxa"/>
              <w:right w:w="108" w:type="dxa"/>
            </w:tcMar>
            <w:vAlign w:val="center"/>
          </w:tcPr>
          <w:p w14:paraId="06C0E8DB">
            <w:pPr>
              <w:jc w:val="center"/>
              <w:rPr>
                <w:b/>
              </w:rPr>
            </w:pPr>
            <w:r>
              <w:rPr>
                <w:b/>
              </w:rPr>
              <w:t>SMD</w:t>
            </w:r>
          </w:p>
        </w:tc>
        <w:tc>
          <w:tcPr>
            <w:tcW w:w="0" w:type="auto"/>
            <w:tcMar>
              <w:left w:w="108" w:type="dxa"/>
              <w:right w:w="108" w:type="dxa"/>
            </w:tcMar>
            <w:vAlign w:val="center"/>
          </w:tcPr>
          <w:p w14:paraId="32C0614F">
            <w:pPr>
              <w:jc w:val="center"/>
              <w:rPr>
                <w:b/>
              </w:rPr>
            </w:pPr>
            <w:r>
              <w:rPr>
                <w:b/>
              </w:rPr>
              <w:t>95%-CI</w:t>
            </w:r>
          </w:p>
        </w:tc>
        <w:tc>
          <w:tcPr>
            <w:tcW w:w="0" w:type="auto"/>
            <w:tcMar>
              <w:left w:w="108" w:type="dxa"/>
              <w:right w:w="108" w:type="dxa"/>
            </w:tcMar>
            <w:vAlign w:val="center"/>
          </w:tcPr>
          <w:p w14:paraId="1DADF7FD">
            <w:pPr>
              <w:jc w:val="center"/>
              <w:rPr>
                <w:b/>
              </w:rPr>
            </w:pPr>
            <w:r>
              <w:rPr>
                <w:b/>
              </w:rPr>
              <w:t>τ²</w:t>
            </w:r>
          </w:p>
        </w:tc>
        <w:tc>
          <w:tcPr>
            <w:tcW w:w="0" w:type="auto"/>
            <w:tcMar>
              <w:left w:w="108" w:type="dxa"/>
              <w:right w:w="108" w:type="dxa"/>
            </w:tcMar>
            <w:vAlign w:val="center"/>
          </w:tcPr>
          <w:p w14:paraId="771CBB3C">
            <w:pPr>
              <w:jc w:val="center"/>
              <w:rPr>
                <w:b/>
              </w:rPr>
            </w:pPr>
            <w:r>
              <w:rPr>
                <w:b/>
              </w:rPr>
              <w:t>τ</w:t>
            </w:r>
          </w:p>
        </w:tc>
      </w:tr>
      <w:tr w14:paraId="70A21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74D96CD">
            <w:r>
              <w:rPr>
                <w:b/>
              </w:rPr>
              <w:t>Obesity (肥胖)</w:t>
            </w:r>
          </w:p>
        </w:tc>
        <w:tc>
          <w:tcPr>
            <w:tcW w:w="0" w:type="auto"/>
            <w:tcMar>
              <w:left w:w="108" w:type="dxa"/>
              <w:right w:w="108" w:type="dxa"/>
            </w:tcMar>
            <w:vAlign w:val="center"/>
          </w:tcPr>
          <w:p w14:paraId="4106E720">
            <w:r>
              <w:t>1</w:t>
            </w:r>
          </w:p>
        </w:tc>
        <w:tc>
          <w:tcPr>
            <w:tcW w:w="0" w:type="auto"/>
            <w:tcMar>
              <w:left w:w="108" w:type="dxa"/>
              <w:right w:w="108" w:type="dxa"/>
            </w:tcMar>
            <w:vAlign w:val="center"/>
          </w:tcPr>
          <w:p w14:paraId="299CFD56">
            <w:r>
              <w:t>1.3536</w:t>
            </w:r>
          </w:p>
        </w:tc>
        <w:tc>
          <w:tcPr>
            <w:tcW w:w="0" w:type="auto"/>
            <w:tcMar>
              <w:left w:w="108" w:type="dxa"/>
              <w:right w:w="108" w:type="dxa"/>
            </w:tcMar>
            <w:vAlign w:val="center"/>
          </w:tcPr>
          <w:p w14:paraId="6789EADF">
            <w:r>
              <w:t>[0.5207; 2.1866]</w:t>
            </w:r>
          </w:p>
        </w:tc>
        <w:tc>
          <w:tcPr>
            <w:tcW w:w="0" w:type="auto"/>
            <w:tcMar>
              <w:left w:w="108" w:type="dxa"/>
              <w:right w:w="108" w:type="dxa"/>
            </w:tcMar>
            <w:vAlign w:val="center"/>
          </w:tcPr>
          <w:p w14:paraId="6B5B35AD">
            <w:r>
              <w:t>--</w:t>
            </w:r>
          </w:p>
        </w:tc>
        <w:tc>
          <w:tcPr>
            <w:tcW w:w="0" w:type="auto"/>
            <w:tcMar>
              <w:left w:w="108" w:type="dxa"/>
              <w:right w:w="108" w:type="dxa"/>
            </w:tcMar>
            <w:vAlign w:val="center"/>
          </w:tcPr>
          <w:p w14:paraId="1DC4A960">
            <w:r>
              <w:t>--</w:t>
            </w:r>
          </w:p>
        </w:tc>
      </w:tr>
      <w:tr w14:paraId="7A522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F523362">
            <w:r>
              <w:rPr>
                <w:b/>
              </w:rPr>
              <w:t>Overweight (超重)</w:t>
            </w:r>
          </w:p>
        </w:tc>
        <w:tc>
          <w:tcPr>
            <w:tcW w:w="0" w:type="auto"/>
            <w:tcMar>
              <w:left w:w="108" w:type="dxa"/>
              <w:right w:w="108" w:type="dxa"/>
            </w:tcMar>
            <w:vAlign w:val="center"/>
          </w:tcPr>
          <w:p w14:paraId="4C3817E8">
            <w:r>
              <w:t>3</w:t>
            </w:r>
          </w:p>
        </w:tc>
        <w:tc>
          <w:tcPr>
            <w:tcW w:w="0" w:type="auto"/>
            <w:tcMar>
              <w:left w:w="108" w:type="dxa"/>
              <w:right w:w="108" w:type="dxa"/>
            </w:tcMar>
            <w:vAlign w:val="center"/>
          </w:tcPr>
          <w:p w14:paraId="0F9C485A">
            <w:r>
              <w:t>1.7551</w:t>
            </w:r>
          </w:p>
        </w:tc>
        <w:tc>
          <w:tcPr>
            <w:tcW w:w="0" w:type="auto"/>
            <w:tcMar>
              <w:left w:w="108" w:type="dxa"/>
              <w:right w:w="108" w:type="dxa"/>
            </w:tcMar>
            <w:vAlign w:val="center"/>
          </w:tcPr>
          <w:p w14:paraId="7F678B54">
            <w:r>
              <w:t>[-0.6771; 4.1873]</w:t>
            </w:r>
          </w:p>
        </w:tc>
        <w:tc>
          <w:tcPr>
            <w:tcW w:w="0" w:type="auto"/>
            <w:tcMar>
              <w:left w:w="108" w:type="dxa"/>
              <w:right w:w="108" w:type="dxa"/>
            </w:tcMar>
            <w:vAlign w:val="center"/>
          </w:tcPr>
          <w:p w14:paraId="15FC8A4B">
            <w:r>
              <w:t>4.4524</w:t>
            </w:r>
          </w:p>
        </w:tc>
        <w:tc>
          <w:tcPr>
            <w:tcW w:w="0" w:type="auto"/>
            <w:tcMar>
              <w:left w:w="108" w:type="dxa"/>
              <w:right w:w="108" w:type="dxa"/>
            </w:tcMar>
            <w:vAlign w:val="center"/>
          </w:tcPr>
          <w:p w14:paraId="70300D20">
            <w:r>
              <w:t>2.1101</w:t>
            </w:r>
          </w:p>
        </w:tc>
      </w:tr>
      <w:tr w14:paraId="0BB84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6F0AE0A">
            <w:r>
              <w:rPr>
                <w:b/>
              </w:rPr>
              <w:t>Normal weight (正常体重)</w:t>
            </w:r>
          </w:p>
        </w:tc>
        <w:tc>
          <w:tcPr>
            <w:tcW w:w="0" w:type="auto"/>
            <w:tcMar>
              <w:left w:w="108" w:type="dxa"/>
              <w:right w:w="108" w:type="dxa"/>
            </w:tcMar>
            <w:vAlign w:val="center"/>
          </w:tcPr>
          <w:p w14:paraId="21E13BE7">
            <w:r>
              <w:t>4</w:t>
            </w:r>
          </w:p>
        </w:tc>
        <w:tc>
          <w:tcPr>
            <w:tcW w:w="0" w:type="auto"/>
            <w:tcMar>
              <w:left w:w="108" w:type="dxa"/>
              <w:right w:w="108" w:type="dxa"/>
            </w:tcMar>
            <w:vAlign w:val="center"/>
          </w:tcPr>
          <w:p w14:paraId="145C9B6A">
            <w:r>
              <w:t>0.4021</w:t>
            </w:r>
          </w:p>
        </w:tc>
        <w:tc>
          <w:tcPr>
            <w:tcW w:w="0" w:type="auto"/>
            <w:tcMar>
              <w:left w:w="108" w:type="dxa"/>
              <w:right w:w="108" w:type="dxa"/>
            </w:tcMar>
            <w:vAlign w:val="center"/>
          </w:tcPr>
          <w:p w14:paraId="5311367C">
            <w:r>
              <w:t>[0.1243; 0.6799]</w:t>
            </w:r>
          </w:p>
        </w:tc>
        <w:tc>
          <w:tcPr>
            <w:tcW w:w="0" w:type="auto"/>
            <w:tcMar>
              <w:left w:w="108" w:type="dxa"/>
              <w:right w:w="108" w:type="dxa"/>
            </w:tcMar>
            <w:vAlign w:val="center"/>
          </w:tcPr>
          <w:p w14:paraId="7B9AD8FF">
            <w:r>
              <w:t>0.0125</w:t>
            </w:r>
          </w:p>
        </w:tc>
        <w:tc>
          <w:tcPr>
            <w:tcW w:w="0" w:type="auto"/>
            <w:tcMar>
              <w:left w:w="108" w:type="dxa"/>
              <w:right w:w="108" w:type="dxa"/>
            </w:tcMar>
            <w:vAlign w:val="center"/>
          </w:tcPr>
          <w:p w14:paraId="0A2947F1">
            <w:r>
              <w:t>0.1118</w:t>
            </w:r>
          </w:p>
        </w:tc>
      </w:tr>
    </w:tbl>
    <w:p w14:paraId="3F31CE9C">
      <w:pPr>
        <w:numPr>
          <w:ilvl w:val="0"/>
          <w:numId w:val="22"/>
        </w:numPr>
        <w:spacing w:before="0" w:after="0"/>
        <w:ind w:left="720" w:hanging="360"/>
      </w:pPr>
      <w:r>
        <w:rPr>
          <w:b/>
        </w:rPr>
        <w:t>解读</w:t>
      </w:r>
      <w:r>
        <w:t>：</w:t>
      </w:r>
    </w:p>
    <w:p w14:paraId="04182B00">
      <w:pPr>
        <w:numPr>
          <w:ilvl w:val="1"/>
          <w:numId w:val="22"/>
        </w:numPr>
        <w:spacing w:before="0" w:after="0"/>
        <w:ind w:left="1440" w:hanging="360"/>
      </w:pPr>
      <w:r>
        <w:rPr>
          <w:b/>
        </w:rPr>
        <w:t>肥胖组</w:t>
      </w:r>
      <w:r>
        <w:t>：结果不变（单研究）。</w:t>
      </w:r>
    </w:p>
    <w:p w14:paraId="357FB4A5">
      <w:pPr>
        <w:numPr>
          <w:ilvl w:val="1"/>
          <w:numId w:val="22"/>
        </w:numPr>
        <w:spacing w:before="0" w:after="0"/>
        <w:ind w:left="1440" w:hanging="360"/>
      </w:pPr>
      <w:r>
        <w:rPr>
          <w:b/>
        </w:rPr>
        <w:t>超重组</w:t>
      </w:r>
      <w:r>
        <w:t>：效应量点估计值变得极大（1.76），但</w:t>
      </w:r>
      <w:r>
        <w:rPr>
          <w:b/>
        </w:rPr>
        <w:t>置信区间宽到毫无意义</w:t>
      </w:r>
      <w:r>
        <w:t>（-0.68 至 4.19），</w:t>
      </w:r>
      <w:r>
        <w:rPr>
          <w:b/>
        </w:rPr>
        <w:t>包含了0</w:t>
      </w:r>
      <w:r>
        <w:t>，意味着效应在统计上</w:t>
      </w:r>
      <w:r>
        <w:rPr>
          <w:b/>
        </w:rPr>
        <w:t>不显著</w:t>
      </w:r>
      <w:r>
        <w:t>。巨大的τ²(4.45)证实了组内研究结果极度不一致。</w:t>
      </w:r>
    </w:p>
    <w:p w14:paraId="338F06FD">
      <w:pPr>
        <w:numPr>
          <w:ilvl w:val="1"/>
          <w:numId w:val="22"/>
        </w:numPr>
        <w:spacing w:before="0" w:after="0"/>
        <w:ind w:left="1440" w:hanging="360"/>
      </w:pPr>
      <w:r>
        <w:rPr>
          <w:b/>
        </w:rPr>
        <w:t>正常体重组</w:t>
      </w:r>
      <w:r>
        <w:t>：效应量估计（0.40）和置信区间与固定效应模型非常接近，且τ²几乎为0，表明在随机效应模型下，该亚组的研究结果也是同质的，效应稳定。</w:t>
      </w:r>
    </w:p>
    <w:p w14:paraId="12C56A08">
      <w:pPr>
        <w:pStyle w:val="3"/>
      </w:pPr>
      <w:r>
        <w:rPr>
          <w:b/>
        </w:rPr>
        <w:t>3.4 随机效应模型下的亚组差异检验</w:t>
      </w:r>
    </w:p>
    <w:p w14:paraId="2DE3FF1D">
      <w:r>
        <w:t>Between groups Q=5.53, p=0.0631</w:t>
      </w:r>
    </w:p>
    <w:p w14:paraId="6B403782">
      <w:pPr>
        <w:numPr>
          <w:ilvl w:val="0"/>
          <w:numId w:val="23"/>
        </w:numPr>
        <w:spacing w:before="0" w:after="0"/>
        <w:ind w:left="720" w:hanging="360"/>
      </w:pPr>
      <w:r>
        <w:rPr>
          <w:b/>
        </w:rPr>
        <w:t>解读</w:t>
      </w:r>
      <w:r>
        <w:t>：</w:t>
      </w:r>
    </w:p>
    <w:p w14:paraId="7CD5B240">
      <w:pPr>
        <w:numPr>
          <w:ilvl w:val="1"/>
          <w:numId w:val="23"/>
        </w:numPr>
        <w:spacing w:before="0" w:after="0"/>
        <w:ind w:left="1440" w:hanging="360"/>
      </w:pPr>
      <w:r>
        <w:rPr>
          <w:b/>
        </w:rPr>
        <w:t>亚组间差异检验 (Between groups)</w:t>
      </w:r>
      <w:r>
        <w:t>:</w:t>
      </w:r>
      <w:r>
        <w:rPr>
          <w:b/>
        </w:rPr>
        <w:t>p=0.0631 &gt; 0.05</w:t>
      </w:r>
      <w:r>
        <w:t>。在随机效应模型下，</w:t>
      </w:r>
      <w:r>
        <w:rPr>
          <w:b/>
        </w:rPr>
        <w:t>亚组间差异未能达到统计学上的显著性水平</w:t>
      </w:r>
      <w:r>
        <w:t>。</w:t>
      </w:r>
    </w:p>
    <w:p w14:paraId="0F093FAA">
      <w:pPr>
        <w:numPr>
          <w:ilvl w:val="1"/>
          <w:numId w:val="23"/>
        </w:numPr>
        <w:spacing w:before="0" w:after="0"/>
        <w:ind w:left="1440" w:hanging="360"/>
      </w:pPr>
      <w:r>
        <w:rPr>
          <w:b/>
        </w:rPr>
        <w:t>为何与固定效应模型结论不同？</w:t>
      </w:r>
      <w:r>
        <w:t>这是因为随机效应模型考虑了各亚组内部巨大的异质性（尤其是超重组），在比较亚组时纳入了这种不确定性的估计，使得检验更为保守，统计效力下降。</w:t>
      </w:r>
    </w:p>
    <w:p w14:paraId="0EEC8A9F">
      <w:pPr>
        <w:pStyle w:val="2"/>
      </w:pPr>
      <w:r>
        <w:rPr>
          <w:b/>
        </w:rPr>
        <w:t>总结与综合解读</w:t>
      </w:r>
    </w:p>
    <w:p w14:paraId="637EC952">
      <w:pPr>
        <w:numPr>
          <w:ilvl w:val="0"/>
          <w:numId w:val="24"/>
        </w:numPr>
        <w:spacing w:before="0" w:after="0"/>
        <w:ind w:left="720" w:hanging="360"/>
      </w:pPr>
      <w:r>
        <w:rPr>
          <w:b/>
        </w:rPr>
        <w:t>总体结论</w:t>
      </w:r>
      <w:r>
        <w:t>：该干预措施显示出积极效果，但研究间存在</w:t>
      </w:r>
      <w:r>
        <w:rPr>
          <w:b/>
        </w:rPr>
        <w:t>极高的异质性（I²=85.7%）</w:t>
      </w:r>
      <w:r>
        <w:t>，导致总体汇总效应估计不稳定。</w:t>
      </w:r>
    </w:p>
    <w:p w14:paraId="55408CB9">
      <w:pPr>
        <w:numPr>
          <w:ilvl w:val="0"/>
          <w:numId w:val="24"/>
        </w:numPr>
        <w:spacing w:before="0" w:after="0"/>
        <w:ind w:left="720" w:hanging="360"/>
      </w:pPr>
      <w:r>
        <w:rPr>
          <w:b/>
        </w:rPr>
        <w:t>亚组分析的发现</w:t>
      </w:r>
      <w:r>
        <w:t>：</w:t>
      </w:r>
    </w:p>
    <w:p w14:paraId="645412B3">
      <w:pPr>
        <w:numPr>
          <w:ilvl w:val="1"/>
          <w:numId w:val="24"/>
        </w:numPr>
        <w:spacing w:before="0" w:after="0"/>
        <w:ind w:left="1440" w:hanging="360"/>
      </w:pPr>
      <w:r>
        <w:rPr>
          <w:b/>
        </w:rPr>
        <w:t>对于正常体重人群</w:t>
      </w:r>
      <w:r>
        <w:t>：干预效果最为稳定和可靠，表现为</w:t>
      </w:r>
      <w:r>
        <w:rPr>
          <w:b/>
        </w:rPr>
        <w:t>一致的小到中度正效应</w:t>
      </w:r>
      <w:r>
        <w:t>（SMD ≈ 0.39-0.40）。</w:t>
      </w:r>
    </w:p>
    <w:p w14:paraId="03BBD134">
      <w:pPr>
        <w:numPr>
          <w:ilvl w:val="1"/>
          <w:numId w:val="24"/>
        </w:numPr>
        <w:spacing w:before="0" w:after="0"/>
        <w:ind w:left="1440" w:hanging="360"/>
      </w:pPr>
      <w:r>
        <w:rPr>
          <w:b/>
        </w:rPr>
        <w:t>对于肥胖人群</w:t>
      </w:r>
      <w:r>
        <w:t>：单一项研究提示可能存在</w:t>
      </w:r>
      <w:r>
        <w:rPr>
          <w:b/>
        </w:rPr>
        <w:t>大效应</w:t>
      </w:r>
      <w:r>
        <w:t>，但证据强度弱，需要更多研究验证。</w:t>
      </w:r>
    </w:p>
    <w:p w14:paraId="199B8244">
      <w:pPr>
        <w:numPr>
          <w:ilvl w:val="1"/>
          <w:numId w:val="24"/>
        </w:numPr>
        <w:spacing w:before="0" w:after="0"/>
        <w:ind w:left="1440" w:hanging="360"/>
      </w:pPr>
      <w:r>
        <w:rPr>
          <w:b/>
        </w:rPr>
        <w:t>对于超重人群</w:t>
      </w:r>
      <w:r>
        <w:t>：研究结果</w:t>
      </w:r>
      <w:r>
        <w:rPr>
          <w:b/>
        </w:rPr>
        <w:t>极度不一致</w:t>
      </w:r>
      <w:r>
        <w:t>（I²=94.5%, τ²极大），无法得出确切结论。点估计值波动大，且置信区间极宽，效果高度不确定。</w:t>
      </w:r>
    </w:p>
    <w:p w14:paraId="6AE7D57C">
      <w:pPr>
        <w:numPr>
          <w:ilvl w:val="1"/>
          <w:numId w:val="24"/>
        </w:numPr>
        <w:spacing w:before="0" w:after="0"/>
        <w:ind w:left="1440" w:hanging="360"/>
      </w:pPr>
      <w:r>
        <w:rPr>
          <w:b/>
        </w:rPr>
        <w:t>调节效应检验</w:t>
      </w:r>
      <w:r>
        <w:t>：证据存在矛盾。较不保守的固定效应模型提示体重状况有显著调节作用（p=0.013），但更可靠的随机效应模型则显示这种调节作用未达显著水平（p=0.063）。</w:t>
      </w:r>
      <w:r>
        <w:rPr>
          <w:b/>
        </w:rPr>
        <w:t>更稳妥的结论是：有迹象表明体重状况可能调节干预效果，但当前证据尚不足以确凿证实。</w:t>
      </w:r>
    </w:p>
    <w:p w14:paraId="1C18CC69">
      <w:pPr>
        <w:numPr>
          <w:ilvl w:val="0"/>
          <w:numId w:val="24"/>
        </w:numPr>
        <w:spacing w:before="0" w:after="0"/>
        <w:ind w:left="720" w:hanging="360"/>
      </w:pPr>
      <w:r>
        <w:rPr>
          <w:b/>
        </w:rPr>
        <w:t>对研究与实践的启示</w:t>
      </w:r>
      <w:r>
        <w:t>：</w:t>
      </w:r>
    </w:p>
    <w:p w14:paraId="1677D182">
      <w:pPr>
        <w:numPr>
          <w:ilvl w:val="1"/>
          <w:numId w:val="24"/>
        </w:numPr>
        <w:spacing w:before="0" w:after="0"/>
        <w:ind w:left="1440" w:hanging="360"/>
      </w:pPr>
      <w:r>
        <w:t>该干预措施对正常体重人群很可能有效。</w:t>
      </w:r>
    </w:p>
    <w:p w14:paraId="4A13D155">
      <w:pPr>
        <w:numPr>
          <w:ilvl w:val="1"/>
          <w:numId w:val="24"/>
        </w:numPr>
        <w:spacing w:before="0" w:after="0"/>
        <w:ind w:left="1440" w:hanging="360"/>
      </w:pPr>
      <w:r>
        <w:t>其对超重和肥胖人群的效果，特别是最佳实施方式，是未来研究的重点。超重组内极高的异质性提示可能存在其他未测量的重要调节变量（如干预强度、具体方案等）。</w:t>
      </w:r>
    </w:p>
    <w:p w14:paraId="11395035">
      <w:pPr>
        <w:numPr>
          <w:ilvl w:val="1"/>
          <w:numId w:val="24"/>
        </w:numPr>
        <w:spacing w:before="0" w:after="0"/>
        <w:ind w:left="1440" w:hanging="360"/>
      </w:pPr>
      <w:r>
        <w:t>在应用此证据时，需谨慎对待对超重/肥胖人群的效果预期。</w:t>
      </w:r>
    </w:p>
    <w:p w14:paraId="03BCDF02"/>
    <w:p w14:paraId="511BC113"/>
    <w:p w14:paraId="09922A05"/>
    <w:p w14:paraId="57AD5A25">
      <w:r>
        <w:drawing>
          <wp:inline distT="0" distB="0" distL="114300" distR="114300">
            <wp:extent cx="5270500" cy="6809105"/>
            <wp:effectExtent l="0" t="0" r="6350" b="1079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70500" cy="6809105"/>
                    </a:xfrm>
                    <a:prstGeom prst="rect">
                      <a:avLst/>
                    </a:prstGeom>
                    <a:noFill/>
                    <a:ln>
                      <a:noFill/>
                    </a:ln>
                  </pic:spPr>
                </pic:pic>
              </a:graphicData>
            </a:graphic>
          </wp:inline>
        </w:drawing>
      </w:r>
    </w:p>
    <w:p w14:paraId="438BA847">
      <w:pPr>
        <w:widowControl w:val="0"/>
        <w:numPr>
          <w:ilvl w:val="1"/>
          <w:numId w:val="24"/>
        </w:numPr>
        <w:spacing w:before="0" w:after="0"/>
        <w:ind w:left="1080" w:leftChars="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这是第四份元分析报告，专注于探究地域（大洲） 是否对干预效果产生调节作用。以下是详细解读。</w:t>
      </w:r>
    </w:p>
    <w:p w14:paraId="6F428613">
      <w:pPr>
        <w:widowControl w:val="0"/>
        <w:numPr>
          <w:ilvl w:val="1"/>
          <w:numId w:val="24"/>
        </w:numPr>
        <w:spacing w:before="0" w:after="0"/>
        <w:ind w:left="840" w:leftChars="4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w:t>
      </w:r>
    </w:p>
    <w:p w14:paraId="003FF230">
      <w:pPr>
        <w:keepNext/>
        <w:keepLines/>
        <w:widowControl w:val="0"/>
        <w:spacing w:before="260" w:beforeLines="0" w:beforeAutospacing="0" w:after="260" w:afterLines="0" w:afterAutospacing="0" w:line="413" w:lineRule="auto"/>
        <w:jc w:val="both"/>
        <w:outlineLvl w:val="2"/>
        <w:rPr>
          <w:rFonts w:hint="eastAsia" w:asciiTheme="minorHAnsi" w:hAnsiTheme="minorHAnsi" w:eastAsiaTheme="minorEastAsia" w:cstheme="minorBidi"/>
          <w:b/>
          <w:kern w:val="2"/>
          <w:sz w:val="32"/>
          <w:szCs w:val="24"/>
          <w:lang w:val="en-US" w:eastAsia="zh-CN" w:bidi="ar-SA"/>
        </w:rPr>
      </w:pPr>
      <w:r>
        <w:rPr>
          <w:rFonts w:hint="eastAsia" w:asciiTheme="minorHAnsi" w:hAnsiTheme="minorHAnsi" w:eastAsiaTheme="minorEastAsia" w:cstheme="minorBidi"/>
          <w:b/>
          <w:kern w:val="2"/>
          <w:sz w:val="32"/>
          <w:szCs w:val="24"/>
          <w:lang w:val="en-US" w:eastAsia="zh-CN" w:bidi="ar-SA"/>
        </w:rPr>
        <w:t>整体研究概况</w:t>
      </w:r>
    </w:p>
    <w:p w14:paraId="1745367E">
      <w:pPr>
        <w:widowControl w:val="0"/>
        <w:spacing w:before="0" w:after="0"/>
        <w:ind w:left="360" w:leftChars="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Number of studies: </w:t>
      </w:r>
      <m:oMath>
        <m:r>
          <m:rPr/>
          <w:rPr>
            <w:rFonts w:hint="default" w:ascii="Cambria Math"/>
          </w:rPr>
          <m:t>k=17</m:t>
        </m:r>
      </m:oMath>
      <w:r>
        <w:rPr>
          <w:rFonts w:hint="eastAsia" w:asciiTheme="minorHAnsi" w:hAnsiTheme="minorHAnsi" w:eastAsiaTheme="minorEastAsia" w:cstheme="minorBidi"/>
          <w:kern w:val="2"/>
          <w:sz w:val="21"/>
          <w:szCs w:val="24"/>
          <w:lang w:val="en-US" w:eastAsia="zh-CN" w:bidi="ar-SA"/>
        </w:rPr>
        <w:t>： 共纳入 17 项研究。</w:t>
      </w:r>
    </w:p>
    <w:p w14:paraId="759FB5CF">
      <w:pPr>
        <w:widowControl w:val="0"/>
        <w:spacing w:before="0" w:after="0"/>
        <w:ind w:left="420" w:leftChars="2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Number of observations: </w:t>
      </w:r>
      <m:oMath>
        <m:r>
          <m:rPr/>
          <w:rPr>
            <w:rFonts w:hint="default" w:ascii="Cambria Math"/>
          </w:rPr>
          <m:t>o=2193</m:t>
        </m:r>
      </m:oMath>
      <w:r>
        <w:rPr>
          <w:rFonts w:hint="eastAsia" w:asciiTheme="minorHAnsi" w:hAnsiTheme="minorHAnsi" w:eastAsiaTheme="minorEastAsia" w:cstheme="minorBidi"/>
          <w:kern w:val="2"/>
          <w:sz w:val="21"/>
          <w:szCs w:val="24"/>
          <w:lang w:val="en-US" w:eastAsia="zh-CN" w:bidi="ar-SA"/>
        </w:rPr>
        <w:t>： 总样本量 2193 名受试者。</w:t>
      </w:r>
    </w:p>
    <w:p w14:paraId="391526C1">
      <w:pPr>
        <w:widowControl w:val="0"/>
        <w:spacing w:before="0" w:after="0"/>
        <w:ind w:left="840" w:leftChars="4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`o.e = 1105`： 实验组人数。</w:t>
      </w:r>
    </w:p>
    <w:p w14:paraId="4A2F0362">
      <w:pPr>
        <w:widowControl w:val="0"/>
        <w:spacing w:before="0" w:after="0"/>
        <w:ind w:left="840" w:leftChars="4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`o.c = 1088`： 对照组人数。</w:t>
      </w:r>
    </w:p>
    <w:p w14:paraId="003AC89C">
      <w:pPr>
        <w:keepNext/>
        <w:keepLines/>
        <w:widowControl w:val="0"/>
        <w:spacing w:before="260" w:beforeLines="0" w:beforeAutospacing="0" w:after="260" w:afterLines="0" w:afterAutospacing="0" w:line="413" w:lineRule="auto"/>
        <w:jc w:val="both"/>
        <w:outlineLvl w:val="2"/>
        <w:rPr>
          <w:rFonts w:hint="eastAsia" w:asciiTheme="minorHAnsi" w:hAnsiTheme="minorHAnsi" w:eastAsiaTheme="minorEastAsia" w:cstheme="minorBidi"/>
          <w:b/>
          <w:kern w:val="2"/>
          <w:sz w:val="32"/>
          <w:szCs w:val="24"/>
          <w:lang w:val="en-US" w:eastAsia="zh-CN" w:bidi="ar-SA"/>
        </w:rPr>
      </w:pPr>
      <w:r>
        <w:rPr>
          <w:rFonts w:hint="eastAsia" w:asciiTheme="minorHAnsi" w:hAnsiTheme="minorHAnsi" w:eastAsiaTheme="minorEastAsia" w:cstheme="minorBidi"/>
          <w:b/>
          <w:kern w:val="2"/>
          <w:sz w:val="32"/>
          <w:szCs w:val="24"/>
          <w:lang w:val="en-US" w:eastAsia="zh-CN" w:bidi="ar-SA"/>
        </w:rPr>
        <w:t>1. 总效应汇总 (与之前报告一致)</w:t>
      </w:r>
    </w:p>
    <w:p w14:paraId="1172E13F">
      <w:pPr>
        <w:widowControl w:val="0"/>
        <w:spacing w:before="0" w:after="0"/>
        <w:ind w:left="720" w:leftChars="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Common effect model（固定效应模型）</w:t>
      </w:r>
    </w:p>
    <w:p w14:paraId="037563B5">
      <w:pPr>
        <w:widowControl w:val="0"/>
        <w:spacing w:before="0" w:after="0"/>
        <w:ind w:left="420" w:leftChars="2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SMD = 0.2495，效应显著，为小到中度正效应。</w:t>
      </w:r>
    </w:p>
    <w:p w14:paraId="0A99D239">
      <w:pPr>
        <w:widowControl w:val="0"/>
        <w:spacing w:before="0" w:after="0"/>
        <w:ind w:left="420" w:leftChars="2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Random effects model（随机效应模型）</w:t>
      </w:r>
    </w:p>
    <w:p w14:paraId="191309C7">
      <w:pPr>
        <w:widowControl w:val="0"/>
        <w:spacing w:before="0" w:after="0"/>
        <w:ind w:left="420" w:leftChars="2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SMD = 0.5581，效应显著，置信区间更宽。</w:t>
      </w:r>
    </w:p>
    <w:p w14:paraId="3F7EB51C">
      <w:pPr>
        <w:widowControl w:val="0"/>
        <w:spacing w:before="0" w:after="0"/>
        <w:ind w:left="420" w:leftChars="2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&gt; 关键点：两个模型结果差异大，提示存在异质性。</w:t>
      </w:r>
    </w:p>
    <w:p w14:paraId="7D577CA0">
      <w:pPr>
        <w:keepNext/>
        <w:keepLines/>
        <w:widowControl w:val="0"/>
        <w:spacing w:before="260" w:beforeLines="0" w:beforeAutospacing="0" w:after="260" w:afterLines="0" w:afterAutospacing="0" w:line="413" w:lineRule="auto"/>
        <w:jc w:val="both"/>
        <w:outlineLvl w:val="2"/>
        <w:rPr>
          <w:rFonts w:hint="eastAsia" w:asciiTheme="minorHAnsi" w:hAnsiTheme="minorHAnsi" w:eastAsiaTheme="minorEastAsia" w:cstheme="minorBidi"/>
          <w:b/>
          <w:kern w:val="2"/>
          <w:sz w:val="32"/>
          <w:szCs w:val="24"/>
          <w:lang w:val="en-US" w:eastAsia="zh-CN" w:bidi="ar-SA"/>
        </w:rPr>
      </w:pPr>
      <w:r>
        <w:rPr>
          <w:rFonts w:hint="eastAsia" w:asciiTheme="minorHAnsi" w:hAnsiTheme="minorHAnsi" w:eastAsiaTheme="minorEastAsia" w:cstheme="minorBidi"/>
          <w:b/>
          <w:kern w:val="2"/>
          <w:sz w:val="32"/>
          <w:szCs w:val="24"/>
          <w:lang w:val="en-US" w:eastAsia="zh-CN" w:bidi="ar-SA"/>
        </w:rPr>
        <w:t>2. 异质性分析 (与之前报告一致)</w:t>
      </w:r>
    </w:p>
    <w:p w14:paraId="2D0DB392">
      <w:pPr>
        <w:widowControl w:val="0"/>
        <w:spacing w:before="0" w:after="0"/>
        <w:ind w:left="1080" w:leftChars="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I² = 78.0%，Q检验 p &lt; 0.0001： 研究间存在高异质性。</w:t>
      </w:r>
    </w:p>
    <w:p w14:paraId="6CD7E20C">
      <w:pPr>
        <w:widowControl w:val="0"/>
        <w:spacing w:before="0" w:after="0"/>
        <w:ind w:left="840" w:leftChars="4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&gt; 结论：由于存在高异质性，随机效应模型的结果更可靠。</w:t>
      </w:r>
    </w:p>
    <w:p w14:paraId="42757903">
      <w:pPr>
        <w:widowControl w:val="0"/>
        <w:spacing w:before="0" w:after="0"/>
        <w:ind w:left="840" w:leftChars="4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w:t>
      </w:r>
    </w:p>
    <w:p w14:paraId="4219A1BD">
      <w:pPr>
        <w:widowControl w:val="0"/>
        <w:spacing w:before="0" w:after="0"/>
        <w:ind w:left="840" w:leftChars="4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3. 亚组分析：按地域（大洲）分层</w:t>
      </w:r>
    </w:p>
    <w:p w14:paraId="140FD096">
      <w:pPr>
        <w:widowControl w:val="0"/>
        <w:spacing w:before="0" w:after="0"/>
        <w:ind w:left="840" w:leftChars="4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分析旨在回答：干预效果是否因研究开展的地域（欧洲、亚洲、北美洲、大洋洲）不同而存在差异？</w:t>
      </w:r>
    </w:p>
    <w:p w14:paraId="1FFECD7F">
      <w:pPr>
        <w:widowControl w:val="0"/>
        <w:spacing w:before="0" w:after="0"/>
        <w:ind w:left="720" w:leftChars="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3.1 固定效应模型下的亚组结果</w:t>
      </w:r>
    </w:p>
    <w:p w14:paraId="6370FC5A">
      <w:pPr>
        <w:jc w:val="center"/>
        <w:rPr>
          <w:rFonts w:hint="default" w:ascii="Calibri" w:hAnsi="Calibri" w:cs="Calibri"/>
        </w:rPr>
      </w:pPr>
      <w:r>
        <w:rPr>
          <w:rFonts w:hint="default" w:ascii="Calibri" w:hAnsi="Calibri" w:cs="Calibri"/>
        </w:rPr>
        <w:t>亚组分析表</w:t>
      </w:r>
    </w:p>
    <w:tbl>
      <w:tblP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712"/>
        <w:gridCol w:w="514"/>
        <w:gridCol w:w="1120"/>
        <w:gridCol w:w="2235"/>
        <w:gridCol w:w="985"/>
        <w:gridCol w:w="1040"/>
      </w:tblGrid>
      <w:tr w14:paraId="7E113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682508C">
            <w:pPr>
              <w:jc w:val="center"/>
              <w:rPr>
                <w:rFonts w:hint="default" w:ascii="Calibri" w:hAnsi="Calibri" w:cs="Calibri"/>
                <w:b/>
              </w:rPr>
            </w:pPr>
            <w:r>
              <w:rPr>
                <w:rFonts w:hint="default" w:ascii="Calibri" w:hAnsi="Calibri" w:cs="Calibri"/>
                <w:b/>
              </w:rPr>
              <w:t>亚组</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B2A406B">
            <w:pPr>
              <w:jc w:val="center"/>
              <w:rPr>
                <w:rFonts w:hint="default" w:ascii="Calibri" w:hAnsi="Calibri" w:cs="Calibri"/>
                <w:b/>
              </w:rPr>
            </w:pPr>
            <w:r>
              <w:rPr>
                <w:rFonts w:hint="default" w:ascii="Calibri" w:hAnsi="Calibri" w:cs="Calibri"/>
                <w:b/>
              </w:rPr>
              <w:t>k</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8550A76">
            <w:pPr>
              <w:jc w:val="center"/>
              <w:rPr>
                <w:rFonts w:hint="default" w:ascii="Calibri" w:hAnsi="Calibri" w:cs="Calibri"/>
                <w:b/>
              </w:rPr>
            </w:pPr>
            <w:r>
              <w:rPr>
                <w:rFonts w:hint="default" w:ascii="Calibri" w:hAnsi="Calibri" w:cs="Calibri"/>
                <w:b/>
              </w:rPr>
              <w:t>SMD</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FCEB236">
            <w:pPr>
              <w:jc w:val="center"/>
              <w:rPr>
                <w:rFonts w:hint="default" w:ascii="Calibri" w:hAnsi="Calibri" w:cs="Calibri"/>
                <w:b/>
              </w:rPr>
            </w:pPr>
            <w:r>
              <w:rPr>
                <w:rFonts w:hint="default" w:ascii="Calibri" w:hAnsi="Calibri" w:cs="Calibri"/>
                <w:b/>
              </w:rPr>
              <w:t>95%-CI</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4DFC9EA">
            <w:pPr>
              <w:jc w:val="center"/>
              <w:rPr>
                <w:rFonts w:hint="default" w:ascii="Calibri" w:hAnsi="Calibri" w:cs="Calibri"/>
                <w:b/>
              </w:rPr>
            </w:pPr>
            <w:r>
              <w:rPr>
                <w:rFonts w:hint="default" w:ascii="Calibri" w:hAnsi="Calibri" w:cs="Calibri"/>
                <w:b/>
              </w:rPr>
              <w:t>Q</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23A0B64">
            <w:pPr>
              <w:jc w:val="center"/>
              <w:rPr>
                <w:rFonts w:hint="default" w:ascii="Calibri" w:hAnsi="Calibri" w:cs="Calibri"/>
                <w:b/>
              </w:rPr>
            </w:pPr>
            <w:r>
              <w:rPr>
                <w:rFonts w:hint="default" w:ascii="Calibri" w:hAnsi="Calibri" w:cs="Calibri"/>
                <w:b/>
              </w:rPr>
              <w:t>I²</w:t>
            </w:r>
          </w:p>
        </w:tc>
      </w:tr>
      <w:tr w14:paraId="0B198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E6823E5">
            <w:pPr>
              <w:jc w:val="left"/>
              <w:rPr>
                <w:rFonts w:hint="default" w:ascii="Calibri" w:hAnsi="Calibri" w:cs="Calibri"/>
              </w:rPr>
            </w:pPr>
            <w:r>
              <w:rPr>
                <w:rFonts w:hint="default" w:ascii="Calibri" w:hAnsi="Calibri" w:cs="Calibri"/>
              </w:rPr>
              <w:t>European (欧洲)</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D9667CB">
            <w:pPr>
              <w:jc w:val="left"/>
              <w:rPr>
                <w:rFonts w:hint="default" w:ascii="Calibri" w:hAnsi="Calibri" w:cs="Calibri"/>
              </w:rPr>
            </w:pPr>
            <w:r>
              <w:rPr>
                <w:rFonts w:hint="default" w:ascii="Calibri" w:hAnsi="Calibri" w:cs="Calibri"/>
              </w:rPr>
              <w:t>5</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381DFFB">
            <w:pPr>
              <w:jc w:val="left"/>
              <w:rPr>
                <w:rFonts w:hint="default" w:ascii="Calibri" w:hAnsi="Calibri" w:cs="Calibri"/>
              </w:rPr>
            </w:pPr>
            <w:r>
              <w:rPr>
                <w:rFonts w:hint="default" w:ascii="Calibri" w:hAnsi="Calibri" w:cs="Calibri"/>
              </w:rPr>
              <w:t>0.1713</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878601D">
            <w:pPr>
              <w:jc w:val="left"/>
              <w:rPr>
                <w:rFonts w:hint="default" w:ascii="Calibri" w:hAnsi="Calibri" w:cs="Calibri"/>
              </w:rPr>
            </w:pPr>
            <w:r>
              <w:rPr>
                <w:rFonts w:hint="default" w:ascii="Calibri" w:hAnsi="Calibri" w:cs="Calibri"/>
              </w:rPr>
              <w:t>[0.0693; 0.2733]</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4827EC2">
            <w:pPr>
              <w:jc w:val="left"/>
              <w:rPr>
                <w:rFonts w:hint="default" w:ascii="Calibri" w:hAnsi="Calibri" w:cs="Calibri"/>
              </w:rPr>
            </w:pPr>
            <w:r>
              <w:rPr>
                <w:rFonts w:hint="default" w:ascii="Calibri" w:hAnsi="Calibri" w:cs="Calibri"/>
              </w:rPr>
              <w:t>11.92</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A1137F6">
            <w:pPr>
              <w:jc w:val="left"/>
              <w:rPr>
                <w:rFonts w:hint="default" w:ascii="Calibri" w:hAnsi="Calibri" w:cs="Calibri"/>
              </w:rPr>
            </w:pPr>
            <w:r>
              <w:rPr>
                <w:rFonts w:hint="default" w:ascii="Calibri" w:hAnsi="Calibri" w:cs="Calibri"/>
              </w:rPr>
              <w:t>66.4%</w:t>
            </w:r>
          </w:p>
        </w:tc>
      </w:tr>
      <w:tr w14:paraId="2FAE6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522A635">
            <w:pPr>
              <w:jc w:val="left"/>
              <w:rPr>
                <w:rFonts w:hint="default" w:ascii="Calibri" w:hAnsi="Calibri" w:cs="Calibri"/>
              </w:rPr>
            </w:pPr>
            <w:r>
              <w:rPr>
                <w:rFonts w:hint="default" w:ascii="Calibri" w:hAnsi="Calibri" w:cs="Calibri"/>
              </w:rPr>
              <w:t>Asia (亚洲)</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E9F8597">
            <w:pPr>
              <w:jc w:val="left"/>
              <w:rPr>
                <w:rFonts w:hint="default" w:ascii="Calibri" w:hAnsi="Calibri" w:cs="Calibri"/>
              </w:rPr>
            </w:pPr>
            <w:r>
              <w:rPr>
                <w:rFonts w:hint="default" w:ascii="Calibri" w:hAnsi="Calibri" w:cs="Calibri"/>
              </w:rPr>
              <w:t>6</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9350869">
            <w:pPr>
              <w:jc w:val="left"/>
              <w:rPr>
                <w:rFonts w:hint="default" w:ascii="Calibri" w:hAnsi="Calibri" w:cs="Calibri"/>
              </w:rPr>
            </w:pPr>
            <w:r>
              <w:rPr>
                <w:rFonts w:hint="default" w:ascii="Calibri" w:hAnsi="Calibri" w:cs="Calibri"/>
              </w:rPr>
              <w:t>0.5388</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E4D2972">
            <w:pPr>
              <w:jc w:val="left"/>
              <w:rPr>
                <w:rFonts w:hint="default" w:ascii="Calibri" w:hAnsi="Calibri" w:cs="Calibri"/>
              </w:rPr>
            </w:pPr>
            <w:r>
              <w:rPr>
                <w:rFonts w:hint="default" w:ascii="Calibri" w:hAnsi="Calibri" w:cs="Calibri"/>
              </w:rPr>
              <w:t>[0.3028; 0.7748]</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2F5077D">
            <w:pPr>
              <w:jc w:val="left"/>
              <w:rPr>
                <w:rFonts w:hint="default" w:ascii="Calibri" w:hAnsi="Calibri" w:cs="Calibri"/>
              </w:rPr>
            </w:pPr>
            <w:r>
              <w:rPr>
                <w:rFonts w:hint="default" w:ascii="Calibri" w:hAnsi="Calibri" w:cs="Calibri"/>
              </w:rPr>
              <w:t>46.96</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4AC63D0">
            <w:pPr>
              <w:jc w:val="left"/>
              <w:rPr>
                <w:rFonts w:hint="default" w:ascii="Calibri" w:hAnsi="Calibri" w:cs="Calibri"/>
              </w:rPr>
            </w:pPr>
            <w:r>
              <w:rPr>
                <w:rFonts w:hint="default" w:ascii="Calibri" w:hAnsi="Calibri" w:cs="Calibri"/>
              </w:rPr>
              <w:t>89.4%</w:t>
            </w:r>
          </w:p>
        </w:tc>
      </w:tr>
      <w:tr w14:paraId="78AE7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3779F71">
            <w:pPr>
              <w:jc w:val="left"/>
              <w:rPr>
                <w:rFonts w:hint="default" w:ascii="Calibri" w:hAnsi="Calibri" w:cs="Calibri"/>
              </w:rPr>
            </w:pPr>
            <w:r>
              <w:rPr>
                <w:rFonts w:hint="default" w:ascii="Calibri" w:hAnsi="Calibri" w:cs="Calibri"/>
              </w:rPr>
              <w:t>North America (北美)</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AF046FF">
            <w:pPr>
              <w:jc w:val="left"/>
              <w:rPr>
                <w:rFonts w:hint="default" w:ascii="Calibri" w:hAnsi="Calibri" w:cs="Calibri"/>
              </w:rPr>
            </w:pPr>
            <w:r>
              <w:rPr>
                <w:rFonts w:hint="default" w:ascii="Calibri" w:hAnsi="Calibri" w:cs="Calibri"/>
              </w:rPr>
              <w:t>4</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3026B16">
            <w:pPr>
              <w:jc w:val="left"/>
              <w:rPr>
                <w:rFonts w:hint="default" w:ascii="Calibri" w:hAnsi="Calibri" w:cs="Calibri"/>
              </w:rPr>
            </w:pPr>
            <w:r>
              <w:rPr>
                <w:rFonts w:hint="default" w:ascii="Calibri" w:hAnsi="Calibri" w:cs="Calibri"/>
              </w:rPr>
              <w:t>0.4872</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60EB755">
            <w:pPr>
              <w:jc w:val="left"/>
              <w:rPr>
                <w:rFonts w:hint="default" w:ascii="Calibri" w:hAnsi="Calibri" w:cs="Calibri"/>
              </w:rPr>
            </w:pPr>
            <w:r>
              <w:rPr>
                <w:rFonts w:hint="default" w:ascii="Calibri" w:hAnsi="Calibri" w:cs="Calibri"/>
              </w:rPr>
              <w:t>[0.2307; 0.7437]</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EE8BEC5">
            <w:pPr>
              <w:jc w:val="left"/>
              <w:rPr>
                <w:rFonts w:hint="default" w:ascii="Calibri" w:hAnsi="Calibri" w:cs="Calibri"/>
              </w:rPr>
            </w:pPr>
            <w:r>
              <w:rPr>
                <w:rFonts w:hint="default" w:ascii="Calibri" w:hAnsi="Calibri" w:cs="Calibri"/>
              </w:rPr>
              <w:t>1.50</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C2B6C5D">
            <w:pPr>
              <w:jc w:val="left"/>
              <w:rPr>
                <w:rFonts w:hint="default" w:ascii="Calibri" w:hAnsi="Calibri" w:cs="Calibri"/>
              </w:rPr>
            </w:pPr>
            <w:r>
              <w:rPr>
                <w:rFonts w:hint="default" w:ascii="Calibri" w:hAnsi="Calibri" w:cs="Calibri"/>
              </w:rPr>
              <w:t>0.0%</w:t>
            </w:r>
          </w:p>
        </w:tc>
      </w:tr>
      <w:tr w14:paraId="01F33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663BE2D">
            <w:pPr>
              <w:jc w:val="left"/>
              <w:rPr>
                <w:rFonts w:hint="default" w:ascii="Calibri" w:hAnsi="Calibri" w:cs="Calibri"/>
              </w:rPr>
            </w:pPr>
            <w:r>
              <w:rPr>
                <w:rFonts w:hint="default" w:ascii="Calibri" w:hAnsi="Calibri" w:cs="Calibri"/>
              </w:rPr>
              <w:t>Oceania (大洋洲)</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D39D0EA">
            <w:pPr>
              <w:jc w:val="left"/>
              <w:rPr>
                <w:rFonts w:hint="default" w:ascii="Calibri" w:hAnsi="Calibri" w:cs="Calibri"/>
              </w:rPr>
            </w:pPr>
            <w:r>
              <w:rPr>
                <w:rFonts w:hint="default" w:ascii="Calibri" w:hAnsi="Calibri" w:cs="Calibri"/>
              </w:rPr>
              <w:t>2</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8697FE4">
            <w:pPr>
              <w:jc w:val="left"/>
              <w:rPr>
                <w:rFonts w:hint="default" w:ascii="Calibri" w:hAnsi="Calibri" w:cs="Calibri"/>
              </w:rPr>
            </w:pPr>
            <w:r>
              <w:rPr>
                <w:rFonts w:hint="default" w:ascii="Calibri" w:hAnsi="Calibri" w:cs="Calibri"/>
              </w:rPr>
              <w:t>0.1036</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40006A9">
            <w:pPr>
              <w:jc w:val="left"/>
              <w:rPr>
                <w:rFonts w:hint="default" w:ascii="Calibri" w:hAnsi="Calibri" w:cs="Calibri"/>
              </w:rPr>
            </w:pPr>
            <w:r>
              <w:rPr>
                <w:rFonts w:hint="default" w:ascii="Calibri" w:hAnsi="Calibri" w:cs="Calibri"/>
              </w:rPr>
              <w:t>[-0.2330; 0.4402]</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8243FC4">
            <w:pPr>
              <w:jc w:val="left"/>
              <w:rPr>
                <w:rFonts w:hint="default" w:ascii="Calibri" w:hAnsi="Calibri" w:cs="Calibri"/>
              </w:rPr>
            </w:pPr>
            <w:r>
              <w:rPr>
                <w:rFonts w:hint="default" w:ascii="Calibri" w:hAnsi="Calibri" w:cs="Calibri"/>
              </w:rPr>
              <w:t>0.37</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3022CAE">
            <w:pPr>
              <w:jc w:val="left"/>
              <w:rPr>
                <w:rFonts w:hint="default" w:ascii="Calibri" w:hAnsi="Calibri" w:cs="Calibri"/>
              </w:rPr>
            </w:pPr>
            <w:r>
              <w:rPr>
                <w:rFonts w:hint="default" w:ascii="Calibri" w:hAnsi="Calibri" w:cs="Calibri"/>
              </w:rPr>
              <w:t>0.0%</w:t>
            </w:r>
          </w:p>
        </w:tc>
      </w:tr>
    </w:tbl>
    <w:p w14:paraId="4E49F065">
      <w:pPr>
        <w:widowControl w:val="0"/>
        <w:spacing w:before="0" w:after="0"/>
        <w:ind w:left="420" w:leftChars="200" w:firstLine="420" w:firstLineChars="200"/>
        <w:jc w:val="both"/>
        <w:rPr>
          <w:rFonts w:hint="eastAsia" w:asciiTheme="minorHAnsi" w:hAnsiTheme="minorHAnsi" w:eastAsiaTheme="minorEastAsia" w:cstheme="minorBidi"/>
          <w:kern w:val="2"/>
          <w:sz w:val="21"/>
          <w:szCs w:val="24"/>
          <w:lang w:val="en-US" w:eastAsia="zh-CN" w:bidi="ar-SA"/>
        </w:rPr>
      </w:pPr>
    </w:p>
    <w:p w14:paraId="47E655CD">
      <w:pPr>
        <w:widowControl w:val="0"/>
        <w:spacing w:before="0" w:after="0"/>
        <w:ind w:left="420" w:leftChars="2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解读：</w:t>
      </w:r>
    </w:p>
    <w:p w14:paraId="422660CA">
      <w:pPr>
        <w:widowControl w:val="0"/>
        <w:spacing w:before="0" w:after="0"/>
        <w:ind w:left="840" w:leftChars="400" w:firstLine="422"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 xml:space="preserve">   欧洲：</w:t>
      </w:r>
      <w:r>
        <w:rPr>
          <w:rFonts w:hint="eastAsia" w:asciiTheme="minorHAnsi" w:hAnsiTheme="minorHAnsi" w:eastAsiaTheme="minorEastAsia" w:cstheme="minorBidi"/>
          <w:kern w:val="2"/>
          <w:sz w:val="21"/>
          <w:szCs w:val="24"/>
          <w:lang w:val="en-US" w:eastAsia="zh-CN" w:bidi="ar-SA"/>
        </w:rPr>
        <w:t>5项研究，效应小但显著，组内存在中度异质性（I²=66.4%）。</w:t>
      </w:r>
    </w:p>
    <w:p w14:paraId="787F7C81">
      <w:pPr>
        <w:widowControl w:val="0"/>
        <w:spacing w:before="0" w:after="0"/>
        <w:ind w:left="420" w:leftChars="200" w:firstLine="422"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 xml:space="preserve">   亚洲：</w:t>
      </w:r>
      <w:r>
        <w:rPr>
          <w:rFonts w:hint="eastAsia" w:asciiTheme="minorHAnsi" w:hAnsiTheme="minorHAnsi" w:eastAsiaTheme="minorEastAsia" w:cstheme="minorBidi"/>
          <w:kern w:val="2"/>
          <w:sz w:val="21"/>
          <w:szCs w:val="24"/>
          <w:lang w:val="en-US" w:eastAsia="zh-CN" w:bidi="ar-SA"/>
        </w:rPr>
        <w:t>6项研究，效应大且显著（SMD≈0.54），但组内异质性极高（I²=89.4%），说明这些研究结果极不一致。</w:t>
      </w:r>
    </w:p>
    <w:p w14:paraId="61A9469C">
      <w:pPr>
        <w:widowControl w:val="0"/>
        <w:spacing w:before="0" w:after="0"/>
        <w:ind w:left="420" w:leftChars="200" w:firstLine="422"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 xml:space="preserve">   北美洲：</w:t>
      </w:r>
      <w:r>
        <w:rPr>
          <w:rFonts w:hint="eastAsia" w:asciiTheme="minorHAnsi" w:hAnsiTheme="minorHAnsi" w:eastAsiaTheme="minorEastAsia" w:cstheme="minorBidi"/>
          <w:kern w:val="2"/>
          <w:sz w:val="21"/>
          <w:szCs w:val="24"/>
          <w:lang w:val="en-US" w:eastAsia="zh-CN" w:bidi="ar-SA"/>
        </w:rPr>
        <w:t>4项研究，效应中等且显著，组内无异质性（I²=0%），结果高度一致。</w:t>
      </w:r>
    </w:p>
    <w:p w14:paraId="6F041939">
      <w:pPr>
        <w:widowControl w:val="0"/>
        <w:spacing w:before="0" w:after="0"/>
        <w:ind w:left="840" w:leftChars="4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大洋洲：仅2项研究，效应很小且不显著（CI包含0），无异质性。</w:t>
      </w:r>
    </w:p>
    <w:p w14:paraId="3D8F1F36">
      <w:pPr>
        <w:widowControl w:val="0"/>
        <w:spacing w:before="0" w:after="0"/>
        <w:ind w:left="720" w:leftChars="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3.2 固定效应模型下的亚组差异检验</w:t>
      </w:r>
    </w:p>
    <w:p w14:paraId="0F4504A5">
      <w:pPr>
        <w:widowControl w:val="0"/>
        <w:spacing w:before="0" w:after="0"/>
        <w:ind w:left="420" w:leftChars="2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w:t>
      </w:r>
    </w:p>
    <w:p w14:paraId="121AF2DE">
      <w:pPr>
        <w:widowControl w:val="0"/>
        <w:spacing w:before="0" w:after="0"/>
        <w:ind w:left="420" w:leftChars="2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Between groups  Q=12.05, p=0.0072</w:t>
      </w:r>
    </w:p>
    <w:p w14:paraId="65E566F8">
      <w:pPr>
        <w:widowControl w:val="0"/>
        <w:spacing w:before="0" w:after="0"/>
        <w:ind w:left="420" w:leftChars="2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within groups   Q=60.74, p&lt;0.0001</w:t>
      </w:r>
    </w:p>
    <w:p w14:paraId="753B0732">
      <w:pPr>
        <w:widowControl w:val="0"/>
        <w:spacing w:before="0" w:after="0"/>
        <w:ind w:left="420" w:leftChars="2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w:t>
      </w:r>
    </w:p>
    <w:p w14:paraId="12AF06FA">
      <w:pPr>
        <w:widowControl w:val="0"/>
        <w:spacing w:before="0" w:after="0"/>
        <w:ind w:left="420" w:leftChars="2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解读：</w:t>
      </w:r>
    </w:p>
    <w:p w14:paraId="022D7C45">
      <w:pPr>
        <w:widowControl w:val="0"/>
        <w:spacing w:before="0" w:after="0"/>
        <w:ind w:left="420" w:leftChars="2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亚组间差异检验 (Between groups): p=0.0072 &lt; 0.05。这是一个关键但初步的发现。在固定效应模型下，不同地域亚组间的效应量存在统计学上的显著差异。即地域可能是一个显著的调节变量。</w:t>
      </w:r>
    </w:p>
    <w:p w14:paraId="3D9A378B">
      <w:pPr>
        <w:widowControl w:val="0"/>
        <w:spacing w:before="0" w:after="0"/>
        <w:ind w:left="420" w:leftChars="2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注意：固定效应模型未考虑组内异质性，此结果需在更可靠的随机效应模型下验证。</w:t>
      </w:r>
    </w:p>
    <w:p w14:paraId="39EDD8C8">
      <w:pPr>
        <w:widowControl w:val="0"/>
        <w:spacing w:before="0" w:after="0"/>
        <w:ind w:left="720" w:leftChars="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3.3 随机效应模型下的亚组结果</w:t>
      </w:r>
    </w:p>
    <w:p w14:paraId="4612FCBB">
      <w:pPr>
        <w:jc w:val="center"/>
        <w:rPr>
          <w:rFonts w:hint="default" w:ascii="Calibri" w:hAnsi="Calibri" w:cs="Calibri"/>
        </w:rPr>
      </w:pPr>
      <w:r>
        <w:rPr>
          <w:rFonts w:hint="default" w:ascii="Calibri" w:hAnsi="Calibri" w:cs="Calibri"/>
        </w:rPr>
        <w:t>亚组分析表</w:t>
      </w:r>
    </w:p>
    <w:tbl>
      <w:tblP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645"/>
        <w:gridCol w:w="502"/>
        <w:gridCol w:w="1093"/>
        <w:gridCol w:w="2180"/>
        <w:gridCol w:w="1093"/>
        <w:gridCol w:w="1093"/>
      </w:tblGrid>
      <w:tr w14:paraId="3B8F7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EC07D26">
            <w:pPr>
              <w:jc w:val="center"/>
              <w:rPr>
                <w:rFonts w:hint="default" w:ascii="Calibri" w:hAnsi="Calibri" w:cs="Calibri"/>
                <w:b/>
              </w:rPr>
            </w:pPr>
            <w:r>
              <w:rPr>
                <w:rFonts w:hint="default" w:ascii="Calibri" w:hAnsi="Calibri" w:cs="Calibri"/>
                <w:b/>
              </w:rPr>
              <w:t>亚组</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06613E5">
            <w:pPr>
              <w:jc w:val="center"/>
              <w:rPr>
                <w:rFonts w:hint="default" w:ascii="Calibri" w:hAnsi="Calibri" w:cs="Calibri"/>
                <w:b/>
              </w:rPr>
            </w:pPr>
            <w:r>
              <w:rPr>
                <w:rFonts w:hint="default" w:ascii="Calibri" w:hAnsi="Calibri" w:cs="Calibri"/>
                <w:b/>
              </w:rPr>
              <w:t>k</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1B1E08E">
            <w:pPr>
              <w:jc w:val="center"/>
              <w:rPr>
                <w:rFonts w:hint="default" w:ascii="Calibri" w:hAnsi="Calibri" w:cs="Calibri"/>
                <w:b/>
              </w:rPr>
            </w:pPr>
            <w:r>
              <w:rPr>
                <w:rFonts w:hint="default" w:ascii="Calibri" w:hAnsi="Calibri" w:cs="Calibri"/>
                <w:b/>
              </w:rPr>
              <w:t>SMD</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3AAAC89">
            <w:pPr>
              <w:jc w:val="center"/>
              <w:rPr>
                <w:rFonts w:hint="default" w:ascii="Calibri" w:hAnsi="Calibri" w:cs="Calibri"/>
                <w:b/>
              </w:rPr>
            </w:pPr>
            <w:r>
              <w:rPr>
                <w:rFonts w:hint="default" w:ascii="Calibri" w:hAnsi="Calibri" w:cs="Calibri"/>
                <w:b/>
              </w:rPr>
              <w:t>95%-CI</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F65E3D3">
            <w:pPr>
              <w:jc w:val="center"/>
              <w:rPr>
                <w:rFonts w:hint="default" w:ascii="Calibri" w:hAnsi="Calibri" w:cs="Calibri"/>
                <w:b/>
              </w:rPr>
            </w:pPr>
            <w:r>
              <w:rPr>
                <w:rFonts w:hint="default" w:ascii="Calibri" w:hAnsi="Calibri" w:cs="Calibri"/>
                <w:b/>
              </w:rPr>
              <w:t>τ²</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7866347">
            <w:pPr>
              <w:jc w:val="center"/>
              <w:rPr>
                <w:rFonts w:hint="default" w:ascii="Calibri" w:hAnsi="Calibri" w:cs="Calibri"/>
                <w:b/>
              </w:rPr>
            </w:pPr>
            <w:r>
              <w:rPr>
                <w:rFonts w:hint="default" w:ascii="Calibri" w:hAnsi="Calibri" w:cs="Calibri"/>
                <w:b/>
              </w:rPr>
              <w:t>τ</w:t>
            </w:r>
          </w:p>
        </w:tc>
      </w:tr>
      <w:tr w14:paraId="2EF94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3C963A5">
            <w:pPr>
              <w:jc w:val="left"/>
              <w:rPr>
                <w:rFonts w:hint="default" w:ascii="Calibri" w:hAnsi="Calibri" w:cs="Calibri"/>
              </w:rPr>
            </w:pPr>
            <w:r>
              <w:rPr>
                <w:rFonts w:hint="default" w:ascii="Calibri" w:hAnsi="Calibri" w:cs="Calibri"/>
              </w:rPr>
              <w:t>European (欧洲)</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162CB7D">
            <w:pPr>
              <w:jc w:val="left"/>
              <w:rPr>
                <w:rFonts w:hint="default" w:ascii="Calibri" w:hAnsi="Calibri" w:cs="Calibri"/>
              </w:rPr>
            </w:pPr>
            <w:r>
              <w:rPr>
                <w:rFonts w:hint="default" w:ascii="Calibri" w:hAnsi="Calibri" w:cs="Calibri"/>
              </w:rPr>
              <w:t>5</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0E4AC2A">
            <w:pPr>
              <w:jc w:val="left"/>
              <w:rPr>
                <w:rFonts w:hint="default" w:ascii="Calibri" w:hAnsi="Calibri" w:cs="Calibri"/>
              </w:rPr>
            </w:pPr>
            <w:r>
              <w:rPr>
                <w:rFonts w:hint="default" w:ascii="Calibri" w:hAnsi="Calibri" w:cs="Calibri"/>
              </w:rPr>
              <w:t>0.2693</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F3DAE6B">
            <w:pPr>
              <w:jc w:val="left"/>
              <w:rPr>
                <w:rFonts w:hint="default" w:ascii="Calibri" w:hAnsi="Calibri" w:cs="Calibri"/>
              </w:rPr>
            </w:pPr>
            <w:r>
              <w:rPr>
                <w:rFonts w:hint="default" w:ascii="Calibri" w:hAnsi="Calibri" w:cs="Calibri"/>
              </w:rPr>
              <w:t>[0.0230; 0.5156]</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0791FE6">
            <w:pPr>
              <w:jc w:val="left"/>
              <w:rPr>
                <w:rFonts w:hint="default" w:ascii="Calibri" w:hAnsi="Calibri" w:cs="Calibri"/>
              </w:rPr>
            </w:pPr>
            <w:r>
              <w:rPr>
                <w:rFonts w:hint="default" w:ascii="Calibri" w:hAnsi="Calibri" w:cs="Calibri"/>
              </w:rPr>
              <w:t>0.0496</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C13EBD6">
            <w:pPr>
              <w:jc w:val="left"/>
              <w:rPr>
                <w:rFonts w:hint="default" w:ascii="Calibri" w:hAnsi="Calibri" w:cs="Calibri"/>
              </w:rPr>
            </w:pPr>
            <w:r>
              <w:rPr>
                <w:rFonts w:hint="default" w:ascii="Calibri" w:hAnsi="Calibri" w:cs="Calibri"/>
              </w:rPr>
              <w:t>0.2228</w:t>
            </w:r>
          </w:p>
        </w:tc>
      </w:tr>
      <w:tr w14:paraId="2EDFE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99ABAE2">
            <w:pPr>
              <w:jc w:val="left"/>
              <w:rPr>
                <w:rFonts w:hint="default" w:ascii="Calibri" w:hAnsi="Calibri" w:cs="Calibri"/>
              </w:rPr>
            </w:pPr>
            <w:r>
              <w:rPr>
                <w:rFonts w:hint="default" w:ascii="Calibri" w:hAnsi="Calibri" w:cs="Calibri"/>
              </w:rPr>
              <w:t>Asia (亚洲)</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EC90F51">
            <w:pPr>
              <w:jc w:val="left"/>
              <w:rPr>
                <w:rFonts w:hint="default" w:ascii="Calibri" w:hAnsi="Calibri" w:cs="Calibri"/>
              </w:rPr>
            </w:pPr>
            <w:r>
              <w:rPr>
                <w:rFonts w:hint="default" w:ascii="Calibri" w:hAnsi="Calibri" w:cs="Calibri"/>
              </w:rPr>
              <w:t>6</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12C4E10">
            <w:pPr>
              <w:jc w:val="left"/>
              <w:rPr>
                <w:rFonts w:hint="default" w:ascii="Calibri" w:hAnsi="Calibri" w:cs="Calibri"/>
              </w:rPr>
            </w:pPr>
            <w:r>
              <w:rPr>
                <w:rFonts w:hint="default" w:ascii="Calibri" w:hAnsi="Calibri" w:cs="Calibri"/>
              </w:rPr>
              <w:t>1.0698</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698764A">
            <w:pPr>
              <w:jc w:val="left"/>
              <w:rPr>
                <w:rFonts w:hint="default" w:ascii="Calibri" w:hAnsi="Calibri" w:cs="Calibri"/>
              </w:rPr>
            </w:pPr>
            <w:r>
              <w:rPr>
                <w:rFonts w:hint="default" w:ascii="Calibri" w:hAnsi="Calibri" w:cs="Calibri"/>
              </w:rPr>
              <w:t>[-0.1196; 2.2591]</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88E6A73">
            <w:pPr>
              <w:jc w:val="left"/>
              <w:rPr>
                <w:rFonts w:hint="default" w:ascii="Calibri" w:hAnsi="Calibri" w:cs="Calibri"/>
              </w:rPr>
            </w:pPr>
            <w:r>
              <w:rPr>
                <w:rFonts w:hint="default" w:ascii="Calibri" w:hAnsi="Calibri" w:cs="Calibri"/>
              </w:rPr>
              <w:t>2.0791</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E5D1623">
            <w:pPr>
              <w:jc w:val="left"/>
              <w:rPr>
                <w:rFonts w:hint="default" w:ascii="Calibri" w:hAnsi="Calibri" w:cs="Calibri"/>
              </w:rPr>
            </w:pPr>
            <w:r>
              <w:rPr>
                <w:rFonts w:hint="default" w:ascii="Calibri" w:hAnsi="Calibri" w:cs="Calibri"/>
              </w:rPr>
              <w:t>1.4419</w:t>
            </w:r>
          </w:p>
        </w:tc>
      </w:tr>
      <w:tr w14:paraId="25D77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90978AE">
            <w:pPr>
              <w:jc w:val="left"/>
              <w:rPr>
                <w:rFonts w:hint="default" w:ascii="Calibri" w:hAnsi="Calibri" w:cs="Calibri"/>
              </w:rPr>
            </w:pPr>
            <w:r>
              <w:rPr>
                <w:rFonts w:hint="default" w:ascii="Calibri" w:hAnsi="Calibri" w:cs="Calibri"/>
              </w:rPr>
              <w:t>North America (北美)</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8C8D65F">
            <w:pPr>
              <w:jc w:val="left"/>
              <w:rPr>
                <w:rFonts w:hint="default" w:ascii="Calibri" w:hAnsi="Calibri" w:cs="Calibri"/>
              </w:rPr>
            </w:pPr>
            <w:r>
              <w:rPr>
                <w:rFonts w:hint="default" w:ascii="Calibri" w:hAnsi="Calibri" w:cs="Calibri"/>
              </w:rPr>
              <w:t>4</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F9EC671">
            <w:pPr>
              <w:jc w:val="left"/>
              <w:rPr>
                <w:rFonts w:hint="default" w:ascii="Calibri" w:hAnsi="Calibri" w:cs="Calibri"/>
              </w:rPr>
            </w:pPr>
            <w:r>
              <w:rPr>
                <w:rFonts w:hint="default" w:ascii="Calibri" w:hAnsi="Calibri" w:cs="Calibri"/>
              </w:rPr>
              <w:t>0.4872</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C3412D7">
            <w:pPr>
              <w:jc w:val="left"/>
              <w:rPr>
                <w:rFonts w:hint="default" w:ascii="Calibri" w:hAnsi="Calibri" w:cs="Calibri"/>
              </w:rPr>
            </w:pPr>
            <w:r>
              <w:rPr>
                <w:rFonts w:hint="default" w:ascii="Calibri" w:hAnsi="Calibri" w:cs="Calibri"/>
              </w:rPr>
              <w:t>[0.2307; 0.7437]</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684B23C">
            <w:pPr>
              <w:jc w:val="left"/>
              <w:rPr>
                <w:rFonts w:hint="default" w:ascii="Calibri" w:hAnsi="Calibri" w:cs="Calibri"/>
              </w:rPr>
            </w:pPr>
            <w:r>
              <w:rPr>
                <w:rFonts w:hint="default" w:ascii="Calibri" w:hAnsi="Calibri" w:cs="Calibri"/>
              </w:rPr>
              <w:t>0</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98BCD5C">
            <w:pPr>
              <w:jc w:val="left"/>
              <w:rPr>
                <w:rFonts w:hint="default" w:ascii="Calibri" w:hAnsi="Calibri" w:cs="Calibri"/>
              </w:rPr>
            </w:pPr>
            <w:r>
              <w:rPr>
                <w:rFonts w:hint="default" w:ascii="Calibri" w:hAnsi="Calibri" w:cs="Calibri"/>
              </w:rPr>
              <w:t>0</w:t>
            </w:r>
          </w:p>
        </w:tc>
      </w:tr>
      <w:tr w14:paraId="3F7A0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9096896">
            <w:pPr>
              <w:jc w:val="left"/>
              <w:rPr>
                <w:rFonts w:hint="default" w:ascii="Calibri" w:hAnsi="Calibri" w:cs="Calibri"/>
              </w:rPr>
            </w:pPr>
            <w:r>
              <w:rPr>
                <w:rFonts w:hint="default" w:ascii="Calibri" w:hAnsi="Calibri" w:cs="Calibri"/>
              </w:rPr>
              <w:t>Oceania (大洋洲)</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587CB13">
            <w:pPr>
              <w:jc w:val="left"/>
              <w:rPr>
                <w:rFonts w:hint="default" w:ascii="Calibri" w:hAnsi="Calibri" w:cs="Calibri"/>
              </w:rPr>
            </w:pPr>
            <w:r>
              <w:rPr>
                <w:rFonts w:hint="default" w:ascii="Calibri" w:hAnsi="Calibri" w:cs="Calibri"/>
              </w:rPr>
              <w:t>2</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5E64291">
            <w:pPr>
              <w:jc w:val="left"/>
              <w:rPr>
                <w:rFonts w:hint="default" w:ascii="Calibri" w:hAnsi="Calibri" w:cs="Calibri"/>
              </w:rPr>
            </w:pPr>
            <w:r>
              <w:rPr>
                <w:rFonts w:hint="default" w:ascii="Calibri" w:hAnsi="Calibri" w:cs="Calibri"/>
              </w:rPr>
              <w:t>0.1036</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46330E5">
            <w:pPr>
              <w:jc w:val="left"/>
              <w:rPr>
                <w:rFonts w:hint="default" w:ascii="Calibri" w:hAnsi="Calibri" w:cs="Calibri"/>
              </w:rPr>
            </w:pPr>
            <w:r>
              <w:rPr>
                <w:rFonts w:hint="default" w:ascii="Calibri" w:hAnsi="Calibri" w:cs="Calibri"/>
              </w:rPr>
              <w:t>[-0.2330; 0.4402]</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8999CD1">
            <w:pPr>
              <w:jc w:val="left"/>
              <w:rPr>
                <w:rFonts w:hint="default" w:ascii="Calibri" w:hAnsi="Calibri" w:cs="Calibri"/>
              </w:rPr>
            </w:pPr>
            <w:r>
              <w:rPr>
                <w:rFonts w:hint="default" w:ascii="Calibri" w:hAnsi="Calibri" w:cs="Calibri"/>
              </w:rPr>
              <w:t>0</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DBC3F6A">
            <w:pPr>
              <w:jc w:val="left"/>
              <w:rPr>
                <w:rFonts w:hint="default" w:ascii="Calibri" w:hAnsi="Calibri" w:cs="Calibri"/>
              </w:rPr>
            </w:pPr>
            <w:r>
              <w:rPr>
                <w:rFonts w:hint="default" w:ascii="Calibri" w:hAnsi="Calibri" w:cs="Calibri"/>
              </w:rPr>
              <w:t>0</w:t>
            </w:r>
          </w:p>
        </w:tc>
      </w:tr>
    </w:tbl>
    <w:p w14:paraId="05C5EED7">
      <w:pPr>
        <w:widowControl w:val="0"/>
        <w:spacing w:before="0" w:after="0"/>
        <w:ind w:left="420" w:leftChars="200" w:firstLine="420" w:firstLineChars="200"/>
        <w:jc w:val="both"/>
        <w:rPr>
          <w:rFonts w:hint="eastAsia" w:asciiTheme="minorHAnsi" w:hAnsiTheme="minorHAnsi" w:eastAsiaTheme="minorEastAsia" w:cstheme="minorBidi"/>
          <w:kern w:val="2"/>
          <w:sz w:val="21"/>
          <w:szCs w:val="24"/>
          <w:lang w:val="en-US" w:eastAsia="zh-CN" w:bidi="ar-SA"/>
        </w:rPr>
      </w:pPr>
    </w:p>
    <w:p w14:paraId="4C5DA523">
      <w:pPr>
        <w:widowControl w:val="0"/>
        <w:spacing w:before="0" w:after="0"/>
        <w:ind w:left="420" w:leftChars="2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解读：</w:t>
      </w:r>
    </w:p>
    <w:p w14:paraId="0D0E2ECF">
      <w:pPr>
        <w:widowControl w:val="0"/>
        <w:spacing w:before="0" w:after="0"/>
        <w:ind w:left="420" w:leftChars="200" w:firstLine="422"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 xml:space="preserve">   欧洲：</w:t>
      </w:r>
      <w:r>
        <w:rPr>
          <w:rFonts w:hint="eastAsia" w:asciiTheme="minorHAnsi" w:hAnsiTheme="minorHAnsi" w:eastAsiaTheme="minorEastAsia" w:cstheme="minorBidi"/>
          <w:kern w:val="2"/>
          <w:sz w:val="21"/>
          <w:szCs w:val="24"/>
          <w:lang w:val="en-US" w:eastAsia="zh-CN" w:bidi="ar-SA"/>
        </w:rPr>
        <w:t>效应量略有增大（0.27），仍为小的正效应，置信区间变宽但仍显著（下限&gt;0）。</w:t>
      </w:r>
    </w:p>
    <w:p w14:paraId="50E4E310">
      <w:pPr>
        <w:widowControl w:val="0"/>
        <w:spacing w:before="0" w:after="0"/>
        <w:ind w:left="420" w:leftChars="200" w:firstLine="422"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 xml:space="preserve">   亚洲：</w:t>
      </w:r>
      <w:r>
        <w:rPr>
          <w:rFonts w:hint="eastAsia" w:asciiTheme="minorHAnsi" w:hAnsiTheme="minorHAnsi" w:eastAsiaTheme="minorEastAsia" w:cstheme="minorBidi"/>
          <w:kern w:val="2"/>
          <w:sz w:val="21"/>
          <w:szCs w:val="24"/>
          <w:lang w:val="en-US" w:eastAsia="zh-CN" w:bidi="ar-SA"/>
        </w:rPr>
        <w:t>结果发生剧变。效应量点估计值变得极大（1.07），但置信区间极宽且包含0（-0.12 至 2.26）。这意味着在考虑了亚洲研究内部巨大的异质性（τ²=2.08）后，我们无法确定其真实效应是正、是负还是零，估计极不确定。</w:t>
      </w:r>
    </w:p>
    <w:p w14:paraId="7DE84DB6">
      <w:pPr>
        <w:widowControl w:val="0"/>
        <w:spacing w:before="0" w:after="0"/>
        <w:ind w:left="420" w:leftChars="200" w:firstLine="422"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 xml:space="preserve">   北美洲：</w:t>
      </w:r>
      <w:r>
        <w:rPr>
          <w:rFonts w:hint="eastAsia" w:asciiTheme="minorHAnsi" w:hAnsiTheme="minorHAnsi" w:eastAsiaTheme="minorEastAsia" w:cstheme="minorBidi"/>
          <w:kern w:val="2"/>
          <w:sz w:val="21"/>
          <w:szCs w:val="24"/>
          <w:lang w:val="en-US" w:eastAsia="zh-CN" w:bidi="ar-SA"/>
        </w:rPr>
        <w:t>结果与固定效应模型完全一致（τ²=0），表明4项研究同质，效应稳定为中等。</w:t>
      </w:r>
    </w:p>
    <w:p w14:paraId="053595A9">
      <w:pPr>
        <w:widowControl w:val="0"/>
        <w:spacing w:before="0" w:after="0"/>
        <w:ind w:left="840" w:leftChars="4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大洋洲：结果不变（证据弱，效应不显著）。</w:t>
      </w:r>
    </w:p>
    <w:p w14:paraId="53B4B682">
      <w:pPr>
        <w:widowControl w:val="0"/>
        <w:spacing w:before="0" w:after="0"/>
        <w:ind w:left="720" w:leftChars="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3.4 随机效应模型下的亚组差异检验</w:t>
      </w:r>
    </w:p>
    <w:p w14:paraId="60D62CFE">
      <w:pPr>
        <w:widowControl w:val="0"/>
        <w:spacing w:before="0" w:after="0"/>
        <w:ind w:left="420" w:leftChars="2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w:t>
      </w:r>
    </w:p>
    <w:p w14:paraId="28D022D4">
      <w:pPr>
        <w:widowControl w:val="0"/>
        <w:spacing w:before="0" w:after="0"/>
        <w:ind w:left="420" w:leftChars="2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Between groups  Q=4.90, p=0.1793</w:t>
      </w:r>
    </w:p>
    <w:p w14:paraId="2F89C28E">
      <w:pPr>
        <w:widowControl w:val="0"/>
        <w:spacing w:before="0" w:after="0"/>
        <w:ind w:left="420" w:leftChars="2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w:t>
      </w:r>
    </w:p>
    <w:p w14:paraId="4F407E8C">
      <w:pPr>
        <w:widowControl w:val="0"/>
        <w:spacing w:before="0" w:after="0"/>
        <w:ind w:left="420" w:leftChars="2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解读：</w:t>
      </w:r>
    </w:p>
    <w:p w14:paraId="2A4D889C">
      <w:pPr>
        <w:widowControl w:val="0"/>
        <w:spacing w:before="0" w:after="0"/>
        <w:ind w:left="420" w:leftChars="2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亚组间差异检验 (Between groups): p=0.1793 &gt; 0.05。在更可靠的随机效应模型下，不同地域亚组间的效应量差异不再具有统计学显著性。</w:t>
      </w:r>
    </w:p>
    <w:p w14:paraId="177CACC4">
      <w:pPr>
        <w:widowControl w:val="0"/>
        <w:spacing w:before="0" w:after="0"/>
        <w:ind w:left="420" w:leftChars="2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w:t>
      </w:r>
    </w:p>
    <w:p w14:paraId="35E68C52">
      <w:pPr>
        <w:keepNext/>
        <w:keepLines/>
        <w:widowControl w:val="0"/>
        <w:spacing w:before="260" w:beforeLines="0" w:beforeAutospacing="0" w:after="260" w:afterLines="0" w:afterAutospacing="0" w:line="413" w:lineRule="auto"/>
        <w:jc w:val="both"/>
        <w:outlineLvl w:val="2"/>
        <w:rPr>
          <w:rFonts w:hint="eastAsia" w:asciiTheme="minorHAnsi" w:hAnsiTheme="minorHAnsi" w:eastAsiaTheme="minorEastAsia" w:cstheme="minorBidi"/>
          <w:b/>
          <w:kern w:val="2"/>
          <w:sz w:val="32"/>
          <w:szCs w:val="24"/>
          <w:lang w:val="en-US" w:eastAsia="zh-CN" w:bidi="ar-SA"/>
        </w:rPr>
      </w:pPr>
      <w:r>
        <w:rPr>
          <w:rFonts w:hint="eastAsia" w:asciiTheme="minorHAnsi" w:hAnsiTheme="minorHAnsi" w:eastAsiaTheme="minorEastAsia" w:cstheme="minorBidi"/>
          <w:b/>
          <w:kern w:val="2"/>
          <w:sz w:val="32"/>
          <w:szCs w:val="24"/>
          <w:lang w:val="en-US" w:eastAsia="zh-CN" w:bidi="ar-SA"/>
        </w:rPr>
        <w:t>总结与综合解读</w:t>
      </w:r>
    </w:p>
    <w:p w14:paraId="610EB360">
      <w:pPr>
        <w:widowControl w:val="0"/>
        <w:ind w:leftChars="0" w:firstLine="422" w:firstLineChars="20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1.  总体结论：</w:t>
      </w:r>
      <w:r>
        <w:rPr>
          <w:rFonts w:hint="eastAsia" w:asciiTheme="minorHAnsi" w:hAnsiTheme="minorHAnsi" w:eastAsiaTheme="minorEastAsia" w:cstheme="minorBidi"/>
          <w:b/>
          <w:kern w:val="2"/>
          <w:sz w:val="21"/>
          <w:szCs w:val="24"/>
          <w:lang w:val="en-US" w:eastAsia="zh-CN" w:bidi="ar-SA"/>
        </w:rPr>
        <w:t>该干预措施总体显示积极效果，但研究间存在高异质性。</w:t>
      </w:r>
    </w:p>
    <w:p w14:paraId="7DDCA5D9">
      <w:pPr>
        <w:widowControl w:val="0"/>
        <w:ind w:left="0" w:leftChars="0" w:firstLine="422" w:firstLineChars="20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2.  亚组分析的发现与矛盾：</w:t>
      </w:r>
    </w:p>
    <w:p w14:paraId="36B5E9E0">
      <w:pPr>
        <w:widowControl w:val="0"/>
        <w:ind w:left="420" w:leftChars="200" w:firstLine="422" w:firstLineChars="20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 xml:space="preserve">   北美洲的证据最坚实：效果为一致的中等正效应（SMD≈0.49）。</w:t>
      </w:r>
    </w:p>
    <w:p w14:paraId="58D6915D">
      <w:pPr>
        <w:widowControl w:val="0"/>
        <w:ind w:left="420" w:leftChars="200" w:firstLine="422" w:firstLineChars="20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 xml:space="preserve">   欧洲的证据相对稳定：效果为小的正效应（SMD≈0.17-0.27）。</w:t>
      </w:r>
    </w:p>
    <w:p w14:paraId="3E6874D7">
      <w:pPr>
        <w:widowControl w:val="0"/>
        <w:ind w:left="0" w:leftChars="0" w:firstLine="422" w:firstLineChars="20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 xml:space="preserve">   亚洲的证据高度矛盾且不确定：由于组内研究结果极不一致（I²=89.4%，τ²极大），无法得出可靠结论。点估计值波动剧烈，置信区间过宽。</w:t>
      </w:r>
    </w:p>
    <w:p w14:paraId="1E266354">
      <w:pPr>
        <w:widowControl w:val="0"/>
        <w:ind w:left="420" w:leftChars="200" w:firstLine="422" w:firstLineChars="20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 xml:space="preserve">   大洋洲的证据不足：仅有两项研究，无法得出有效结论。</w:t>
      </w:r>
    </w:p>
    <w:p w14:paraId="645D8C65">
      <w:pPr>
        <w:widowControl w:val="0"/>
        <w:ind w:left="420" w:leftChars="200" w:firstLine="422" w:firstLineChars="20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 xml:space="preserve">   调节效应检验的核心矛盾：</w:t>
      </w:r>
    </w:p>
    <w:p w14:paraId="022601E5">
      <w:pPr>
        <w:widowControl w:val="0"/>
        <w:ind w:left="840" w:leftChars="400" w:firstLine="422" w:firstLineChars="20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 xml:space="preserve">   固定效应模型：提示地域有显著调节作用（`p=0.007`）。</w:t>
      </w:r>
    </w:p>
    <w:p w14:paraId="05A6FF34">
      <w:pPr>
        <w:widowControl w:val="0"/>
        <w:ind w:left="840" w:leftChars="400" w:firstLine="422" w:firstLineChars="20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 xml:space="preserve">   随机效应模型：显示地域的调节作用不显著（`p=0.179`）。</w:t>
      </w:r>
    </w:p>
    <w:p w14:paraId="2173FF02">
      <w:pPr>
        <w:widowControl w:val="0"/>
        <w:ind w:leftChars="0" w:firstLine="422" w:firstLineChars="20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3.  如何理解这种矛盾及最终结论：</w:t>
      </w:r>
    </w:p>
    <w:p w14:paraId="50689284">
      <w:pPr>
        <w:widowControl w:val="0"/>
        <w:ind w:left="0" w:leftChars="0" w:firstLine="422" w:firstLineChars="20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 xml:space="preserve">   矛盾的根源在于亚洲组内极高的异质性。固定效应模型忽略了这种异质性，直接比较各亚组均值，得出了“有差异”的结论。</w:t>
      </w:r>
    </w:p>
    <w:p w14:paraId="1A7A5A48">
      <w:pPr>
        <w:widowControl w:val="0"/>
        <w:ind w:left="0" w:leftChars="0" w:firstLine="422" w:firstLineChars="20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 xml:space="preserve">   随机效应模型则考虑了各亚组内部的不一致性（尤其是亚洲组），在比较时纳入了这种不确定性，使得检验效力下降，结论更为保守和可靠。</w:t>
      </w:r>
    </w:p>
    <w:p w14:paraId="51AD0C88">
      <w:pPr>
        <w:widowControl w:val="0"/>
        <w:ind w:left="0" w:leftChars="0" w:firstLine="422" w:firstLineChars="20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 xml:space="preserve">   更稳妥的结论是：现有证据不足以确凿证明干预效果因地域不同而存在系统性差异。然而，北美洲表现出稳定、一致的中等效应，而亚洲地区的研究结果则呈现高度不一致性，这本身是一个重要的发现，提示在亚洲文化或研究背景下，可能存在其他关键因素（如干预的具体形式、实施质量、社会文化差异等）强烈地调节着干预效果，未来研究需要深入探索这些因素。</w:t>
      </w:r>
    </w:p>
    <w:p w14:paraId="3EA3DAB2">
      <w:r>
        <w:drawing>
          <wp:inline distT="0" distB="0" distL="114300" distR="114300">
            <wp:extent cx="5274310" cy="5789295"/>
            <wp:effectExtent l="0" t="0" r="2540"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74310" cy="5789295"/>
                    </a:xfrm>
                    <a:prstGeom prst="rect">
                      <a:avLst/>
                    </a:prstGeom>
                    <a:noFill/>
                    <a:ln>
                      <a:noFill/>
                    </a:ln>
                  </pic:spPr>
                </pic:pic>
              </a:graphicData>
            </a:graphic>
          </wp:inline>
        </w:drawing>
      </w:r>
    </w:p>
    <w:p w14:paraId="7C9E891A">
      <w:r>
        <w:t>这份文件是第五份元分析报告，探讨了某个连续变量（可能为年龄、样本量、干预时长等，报告未明确说明，暂称为“某变量”）以</w:t>
      </w:r>
      <w:r>
        <w:rPr>
          <w:b/>
        </w:rPr>
        <w:t>40为分界点（≤40 vs &gt;40）</w:t>
      </w:r>
      <w:r>
        <w:t>对干预效果的调节作用。以下是详细解读：</w:t>
      </w:r>
    </w:p>
    <w:p w14:paraId="78774C87">
      <w:pPr>
        <w:pStyle w:val="2"/>
      </w:pPr>
      <w:r>
        <w:rPr>
          <w:b/>
        </w:rPr>
        <w:t>整体研究概况</w:t>
      </w:r>
    </w:p>
    <w:p w14:paraId="32AF96D9">
      <w:pPr>
        <w:numPr>
          <w:ilvl w:val="0"/>
          <w:numId w:val="25"/>
        </w:numPr>
        <w:spacing w:before="0" w:after="0"/>
        <w:ind w:left="720" w:hanging="360"/>
      </w:pPr>
      <w:r>
        <w:rPr>
          <w:b/>
        </w:rPr>
        <w:t>Number of studies: ( k = 16 )</w:t>
      </w:r>
      <w:r>
        <w:t>： 共纳入</w:t>
      </w:r>
      <w:r>
        <w:rPr>
          <w:b/>
        </w:rPr>
        <w:t>16</w:t>
      </w:r>
      <w:r>
        <w:t>项研究（注意：较之前第一、三、四份报告的17项少1项，可能剔除了不符合此项分析的研究）。</w:t>
      </w:r>
    </w:p>
    <w:p w14:paraId="729C820B">
      <w:pPr>
        <w:numPr>
          <w:ilvl w:val="0"/>
          <w:numId w:val="25"/>
        </w:numPr>
        <w:spacing w:before="0" w:after="0"/>
        <w:ind w:left="720" w:hanging="360"/>
      </w:pPr>
      <w:r>
        <w:rPr>
          <w:b/>
        </w:rPr>
        <w:t>Number of observations: ( o = 1575 )</w:t>
      </w:r>
      <w:r>
        <w:t>： 总样本量为</w:t>
      </w:r>
      <w:r>
        <w:rPr>
          <w:b/>
        </w:rPr>
        <w:t>1575</w:t>
      </w:r>
      <w:r>
        <w:t>名受试者。</w:t>
      </w:r>
    </w:p>
    <w:p w14:paraId="553F6ED0">
      <w:pPr>
        <w:numPr>
          <w:ilvl w:val="1"/>
          <w:numId w:val="25"/>
        </w:numPr>
        <w:spacing w:before="0" w:after="0"/>
        <w:ind w:left="1440" w:hanging="360"/>
      </w:pPr>
      <w:r>
        <w:t>o.e = 796： 实验组人数。</w:t>
      </w:r>
    </w:p>
    <w:p w14:paraId="32BBA2A8">
      <w:pPr>
        <w:numPr>
          <w:ilvl w:val="1"/>
          <w:numId w:val="25"/>
        </w:numPr>
        <w:spacing w:before="0" w:after="0"/>
        <w:ind w:left="1440" w:hanging="360"/>
      </w:pPr>
      <w:r>
        <w:t>o.c = 779： 对照组人数。</w:t>
      </w:r>
    </w:p>
    <w:p w14:paraId="2C5FB94F">
      <w:pPr>
        <w:pStyle w:val="2"/>
      </w:pPr>
      <w:r>
        <w:rPr>
          <w:b/>
        </w:rPr>
        <w:t>1. 总效应汇总</w:t>
      </w:r>
    </w:p>
    <w:p w14:paraId="1EFD03AF">
      <w:pPr>
        <w:pStyle w:val="3"/>
      </w:pPr>
      <w:r>
        <w:rPr>
          <w:b/>
        </w:rPr>
        <w:t>Common effect model（固定效应模型）</w:t>
      </w:r>
    </w:p>
    <w:p w14:paraId="6B7EBFD8">
      <w:pPr>
        <w:numPr>
          <w:ilvl w:val="0"/>
          <w:numId w:val="26"/>
        </w:numPr>
        <w:spacing w:before="0" w:after="0"/>
        <w:ind w:left="720" w:hanging="360"/>
      </w:pPr>
      <w:r>
        <w:rPr>
          <w:b/>
        </w:rPr>
        <w:t>SMD = 0.2926 [0.1916; 0.3936]</w:t>
      </w:r>
      <w:r>
        <w:t>： 汇总效应量为</w:t>
      </w:r>
      <w:r>
        <w:rPr>
          <w:b/>
        </w:rPr>
        <w:t>小到中度正效应</w:t>
      </w:r>
      <w:r>
        <w:t>（约0.29个标准差），且效应显著（CI不含0）。</w:t>
      </w:r>
    </w:p>
    <w:p w14:paraId="50EF6F4F">
      <w:pPr>
        <w:numPr>
          <w:ilvl w:val="0"/>
          <w:numId w:val="26"/>
        </w:numPr>
        <w:spacing w:before="0" w:after="0"/>
        <w:ind w:left="720" w:hanging="360"/>
      </w:pPr>
      <w:r>
        <w:rPr>
          <w:b/>
        </w:rPr>
        <w:t>z = 5.68, p &lt; 0.0001</w:t>
      </w:r>
      <w:r>
        <w:t>： 统计检验高度显著。</w:t>
      </w:r>
    </w:p>
    <w:p w14:paraId="289042E3">
      <w:pPr>
        <w:pStyle w:val="3"/>
      </w:pPr>
      <w:r>
        <w:rPr>
          <w:b/>
        </w:rPr>
        <w:t>Random effects model（随机效应模型）</w:t>
      </w:r>
    </w:p>
    <w:p w14:paraId="2ACD11CD">
      <w:pPr>
        <w:numPr>
          <w:ilvl w:val="0"/>
          <w:numId w:val="27"/>
        </w:numPr>
        <w:spacing w:before="0" w:after="0"/>
        <w:ind w:left="720" w:hanging="360"/>
      </w:pPr>
      <w:r>
        <w:rPr>
          <w:b/>
        </w:rPr>
        <w:t>SMD = 0.5969 [0.2221; 0.9717]</w:t>
      </w:r>
      <w:r>
        <w:t>： 汇总效应量变为</w:t>
      </w:r>
      <w:r>
        <w:rPr>
          <w:b/>
        </w:rPr>
        <w:t>中等效应</w:t>
      </w:r>
      <w:r>
        <w:t>，置信区间变宽，但效应仍显著。</w:t>
      </w:r>
    </w:p>
    <w:p w14:paraId="646E6DB3">
      <w:pPr>
        <w:numPr>
          <w:ilvl w:val="0"/>
          <w:numId w:val="27"/>
        </w:numPr>
        <w:spacing w:before="0" w:after="0"/>
        <w:ind w:left="720" w:hanging="360"/>
      </w:pPr>
      <w:r>
        <w:rPr>
          <w:b/>
        </w:rPr>
        <w:t>z = 3.12, p = 0.0018</w:t>
      </w:r>
      <w:r>
        <w:t>： 统计检验显著。</w:t>
      </w:r>
    </w:p>
    <w:p w14:paraId="529B628B">
      <w:r>
        <w:rPr>
          <w:b/>
        </w:rPr>
        <w:t>关键点</w:t>
      </w:r>
      <w:r>
        <w:t>：随机效应模型效应量更大且置信区间更宽，提示存在异质性。</w:t>
      </w:r>
    </w:p>
    <w:p w14:paraId="513232C9">
      <w:pPr>
        <w:pStyle w:val="2"/>
      </w:pPr>
      <w:r>
        <w:rPr>
          <w:b/>
        </w:rPr>
        <w:t>2. 异质性分析</w:t>
      </w:r>
    </w:p>
    <w:p w14:paraId="00539B7C">
      <w:pPr>
        <w:numPr>
          <w:ilvl w:val="0"/>
          <w:numId w:val="28"/>
        </w:numPr>
        <w:spacing w:before="0" w:after="0"/>
        <w:ind w:left="720" w:hanging="360"/>
      </w:pPr>
      <w:r>
        <w:rPr>
          <w:b/>
        </w:rPr>
        <w:t>tau² = 0.5007</w:t>
      </w:r>
      <w:r>
        <w:t>: 研究间真实效应量的方差估计值中等偏高。</w:t>
      </w:r>
    </w:p>
    <w:p w14:paraId="468A5910">
      <w:pPr>
        <w:numPr>
          <w:ilvl w:val="0"/>
          <w:numId w:val="28"/>
        </w:numPr>
        <w:spacing w:before="0" w:after="0"/>
        <w:ind w:left="720" w:hanging="360"/>
      </w:pPr>
      <w:r>
        <w:rPr>
          <w:b/>
        </w:rPr>
        <w:t>I² = 78.7%</w:t>
      </w:r>
      <w:r>
        <w:t>:</w:t>
      </w:r>
      <w:r>
        <w:rPr>
          <w:b/>
        </w:rPr>
        <w:t>78.7%</w:t>
      </w:r>
      <w:r>
        <w:t>的效应量变异由研究间的真实差异引起，属于</w:t>
      </w:r>
      <w:r>
        <w:rPr>
          <w:b/>
        </w:rPr>
        <w:t>高异质性</w:t>
      </w:r>
      <w:r>
        <w:t>。</w:t>
      </w:r>
    </w:p>
    <w:p w14:paraId="127A0DBA">
      <w:pPr>
        <w:numPr>
          <w:ilvl w:val="0"/>
          <w:numId w:val="28"/>
        </w:numPr>
        <w:spacing w:before="0" w:after="0"/>
        <w:ind w:left="720" w:hanging="360"/>
      </w:pPr>
      <w:r>
        <w:rPr>
          <w:b/>
        </w:rPr>
        <w:t>Q检验 (Q=70.39, p&lt;0.0001)</w:t>
      </w:r>
      <w:r>
        <w:t>： 证实研究间存在统计学上的显著异质性。</w:t>
      </w:r>
    </w:p>
    <w:p w14:paraId="54E0941B">
      <w:r>
        <w:rPr>
          <w:b/>
        </w:rPr>
        <w:t>结论</w:t>
      </w:r>
      <w:r>
        <w:t>：存在</w:t>
      </w:r>
      <w:r>
        <w:rPr>
          <w:b/>
        </w:rPr>
        <w:t>高异质性</w:t>
      </w:r>
      <w:r>
        <w:t>，因此</w:t>
      </w:r>
      <w:r>
        <w:rPr>
          <w:b/>
        </w:rPr>
        <w:t>随机效应模型的结果更可靠</w:t>
      </w:r>
      <w:r>
        <w:t>。</w:t>
      </w:r>
    </w:p>
    <w:p w14:paraId="4D18CEB4">
      <w:pPr>
        <w:pStyle w:val="2"/>
      </w:pPr>
      <w:r>
        <w:rPr>
          <w:b/>
        </w:rPr>
        <w:t>3. 亚组分析：按“某变量”分层 (≤40 vs &gt;40)</w:t>
      </w:r>
    </w:p>
    <w:p w14:paraId="53BB23A1">
      <w:r>
        <w:t>分析旨在回答：干预效果是否因该变量的不同水平（低水平≤40 vs 高水平&gt;40）而存在差异？</w:t>
      </w:r>
    </w:p>
    <w:p w14:paraId="2D8FA521">
      <w:pPr>
        <w:pStyle w:val="3"/>
      </w:pPr>
      <w:r>
        <w:rPr>
          <w:b/>
        </w:rPr>
        <w:t>3.1 固定效应模型下的亚组结果</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384"/>
        <w:gridCol w:w="1384"/>
        <w:gridCol w:w="1384"/>
        <w:gridCol w:w="1384"/>
        <w:gridCol w:w="1384"/>
        <w:gridCol w:w="1384"/>
      </w:tblGrid>
      <w:tr w14:paraId="1D9E1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5EE3ACA0">
            <w:pPr>
              <w:jc w:val="center"/>
              <w:rPr>
                <w:b/>
              </w:rPr>
            </w:pPr>
            <w:r>
              <w:rPr>
                <w:b/>
              </w:rPr>
              <w:t>亚组</w:t>
            </w:r>
          </w:p>
        </w:tc>
        <w:tc>
          <w:tcPr>
            <w:tcW w:w="0" w:type="auto"/>
            <w:tcMar>
              <w:left w:w="108" w:type="dxa"/>
              <w:right w:w="108" w:type="dxa"/>
            </w:tcMar>
            <w:vAlign w:val="center"/>
          </w:tcPr>
          <w:p w14:paraId="55955638">
            <w:pPr>
              <w:jc w:val="center"/>
              <w:rPr>
                <w:b/>
              </w:rPr>
            </w:pPr>
            <w:r>
              <w:rPr>
                <w:b/>
              </w:rPr>
              <w:t>k</w:t>
            </w:r>
          </w:p>
        </w:tc>
        <w:tc>
          <w:tcPr>
            <w:tcW w:w="0" w:type="auto"/>
            <w:tcMar>
              <w:left w:w="108" w:type="dxa"/>
              <w:right w:w="108" w:type="dxa"/>
            </w:tcMar>
            <w:vAlign w:val="center"/>
          </w:tcPr>
          <w:p w14:paraId="061869BE">
            <w:pPr>
              <w:jc w:val="center"/>
              <w:rPr>
                <w:b/>
              </w:rPr>
            </w:pPr>
            <w:r>
              <w:rPr>
                <w:b/>
              </w:rPr>
              <w:t>SMD</w:t>
            </w:r>
          </w:p>
        </w:tc>
        <w:tc>
          <w:tcPr>
            <w:tcW w:w="0" w:type="auto"/>
            <w:tcMar>
              <w:left w:w="108" w:type="dxa"/>
              <w:right w:w="108" w:type="dxa"/>
            </w:tcMar>
            <w:vAlign w:val="center"/>
          </w:tcPr>
          <w:p w14:paraId="6C9744A5">
            <w:pPr>
              <w:jc w:val="center"/>
              <w:rPr>
                <w:b/>
              </w:rPr>
            </w:pPr>
            <w:r>
              <w:rPr>
                <w:b/>
              </w:rPr>
              <w:t>95%-CI</w:t>
            </w:r>
          </w:p>
        </w:tc>
        <w:tc>
          <w:tcPr>
            <w:tcW w:w="0" w:type="auto"/>
            <w:tcMar>
              <w:left w:w="108" w:type="dxa"/>
              <w:right w:w="108" w:type="dxa"/>
            </w:tcMar>
            <w:vAlign w:val="center"/>
          </w:tcPr>
          <w:p w14:paraId="5EC7E270">
            <w:pPr>
              <w:jc w:val="center"/>
              <w:rPr>
                <w:b/>
              </w:rPr>
            </w:pPr>
            <w:r>
              <w:rPr>
                <w:b/>
              </w:rPr>
              <w:t>Q</w:t>
            </w:r>
          </w:p>
        </w:tc>
        <w:tc>
          <w:tcPr>
            <w:tcW w:w="0" w:type="auto"/>
            <w:tcMar>
              <w:left w:w="108" w:type="dxa"/>
              <w:right w:w="108" w:type="dxa"/>
            </w:tcMar>
            <w:vAlign w:val="center"/>
          </w:tcPr>
          <w:p w14:paraId="789957AC">
            <w:pPr>
              <w:jc w:val="center"/>
              <w:rPr>
                <w:b/>
              </w:rPr>
            </w:pPr>
            <w:r>
              <w:rPr>
                <w:b/>
              </w:rPr>
              <w:t>I²</w:t>
            </w:r>
          </w:p>
        </w:tc>
      </w:tr>
      <w:tr w14:paraId="32C1A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0D699479">
            <w:r>
              <w:rPr>
                <w:b/>
              </w:rPr>
              <w:t>Subgroup = ≤40</w:t>
            </w:r>
          </w:p>
        </w:tc>
        <w:tc>
          <w:tcPr>
            <w:tcW w:w="0" w:type="auto"/>
            <w:tcMar>
              <w:left w:w="108" w:type="dxa"/>
              <w:right w:w="108" w:type="dxa"/>
            </w:tcMar>
            <w:vAlign w:val="center"/>
          </w:tcPr>
          <w:p w14:paraId="490DA52C">
            <w:r>
              <w:t>9</w:t>
            </w:r>
          </w:p>
        </w:tc>
        <w:tc>
          <w:tcPr>
            <w:tcW w:w="0" w:type="auto"/>
            <w:tcMar>
              <w:left w:w="108" w:type="dxa"/>
              <w:right w:w="108" w:type="dxa"/>
            </w:tcMar>
            <w:vAlign w:val="center"/>
          </w:tcPr>
          <w:p w14:paraId="614EC2BB">
            <w:r>
              <w:t>0.3823</w:t>
            </w:r>
          </w:p>
        </w:tc>
        <w:tc>
          <w:tcPr>
            <w:tcW w:w="0" w:type="auto"/>
            <w:tcMar>
              <w:left w:w="108" w:type="dxa"/>
              <w:right w:w="108" w:type="dxa"/>
            </w:tcMar>
            <w:vAlign w:val="center"/>
          </w:tcPr>
          <w:p w14:paraId="584A4CBE">
            <w:r>
              <w:t>[0.2444; 0.5202]</w:t>
            </w:r>
          </w:p>
        </w:tc>
        <w:tc>
          <w:tcPr>
            <w:tcW w:w="0" w:type="auto"/>
            <w:tcMar>
              <w:left w:w="108" w:type="dxa"/>
              <w:right w:w="108" w:type="dxa"/>
            </w:tcMar>
            <w:vAlign w:val="center"/>
          </w:tcPr>
          <w:p w14:paraId="63F3E7F3">
            <w:r>
              <w:t>12.04</w:t>
            </w:r>
          </w:p>
        </w:tc>
        <w:tc>
          <w:tcPr>
            <w:tcW w:w="0" w:type="auto"/>
            <w:tcMar>
              <w:left w:w="108" w:type="dxa"/>
              <w:right w:w="108" w:type="dxa"/>
            </w:tcMar>
            <w:vAlign w:val="center"/>
          </w:tcPr>
          <w:p w14:paraId="2556FDAC">
            <w:r>
              <w:t>33.5%</w:t>
            </w:r>
          </w:p>
        </w:tc>
      </w:tr>
      <w:tr w14:paraId="5B8F7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502D1CA5">
            <w:r>
              <w:rPr>
                <w:b/>
              </w:rPr>
              <w:t>Subgroup = &gt;40</w:t>
            </w:r>
          </w:p>
        </w:tc>
        <w:tc>
          <w:tcPr>
            <w:tcW w:w="0" w:type="auto"/>
            <w:tcMar>
              <w:left w:w="108" w:type="dxa"/>
              <w:right w:w="108" w:type="dxa"/>
            </w:tcMar>
            <w:vAlign w:val="center"/>
          </w:tcPr>
          <w:p w14:paraId="163DB644">
            <w:r>
              <w:t>7</w:t>
            </w:r>
          </w:p>
        </w:tc>
        <w:tc>
          <w:tcPr>
            <w:tcW w:w="0" w:type="auto"/>
            <w:tcMar>
              <w:left w:w="108" w:type="dxa"/>
              <w:right w:w="108" w:type="dxa"/>
            </w:tcMar>
            <w:vAlign w:val="center"/>
          </w:tcPr>
          <w:p w14:paraId="0021EE1F">
            <w:r>
              <w:t>0.1887</w:t>
            </w:r>
          </w:p>
        </w:tc>
        <w:tc>
          <w:tcPr>
            <w:tcW w:w="0" w:type="auto"/>
            <w:tcMar>
              <w:left w:w="108" w:type="dxa"/>
              <w:right w:w="108" w:type="dxa"/>
            </w:tcMar>
            <w:vAlign w:val="center"/>
          </w:tcPr>
          <w:p w14:paraId="5BF8A418">
            <w:r>
              <w:t>[0.0403; 0.3371]</w:t>
            </w:r>
          </w:p>
        </w:tc>
        <w:tc>
          <w:tcPr>
            <w:tcW w:w="0" w:type="auto"/>
            <w:tcMar>
              <w:left w:w="108" w:type="dxa"/>
              <w:right w:w="108" w:type="dxa"/>
            </w:tcMar>
            <w:vAlign w:val="center"/>
          </w:tcPr>
          <w:p w14:paraId="09018B1D">
            <w:r>
              <w:t>54.84</w:t>
            </w:r>
          </w:p>
        </w:tc>
        <w:tc>
          <w:tcPr>
            <w:tcW w:w="0" w:type="auto"/>
            <w:tcMar>
              <w:left w:w="108" w:type="dxa"/>
              <w:right w:w="108" w:type="dxa"/>
            </w:tcMar>
            <w:vAlign w:val="center"/>
          </w:tcPr>
          <w:p w14:paraId="29B34F44">
            <w:r>
              <w:t>89.1%</w:t>
            </w:r>
          </w:p>
        </w:tc>
      </w:tr>
    </w:tbl>
    <w:p w14:paraId="050A48F4">
      <w:pPr>
        <w:numPr>
          <w:ilvl w:val="0"/>
          <w:numId w:val="29"/>
        </w:numPr>
        <w:spacing w:before="0" w:after="0"/>
        <w:ind w:left="720" w:hanging="360"/>
      </w:pPr>
      <w:r>
        <w:rPr>
          <w:b/>
        </w:rPr>
        <w:t>解读</w:t>
      </w:r>
      <w:r>
        <w:t>：</w:t>
      </w:r>
    </w:p>
    <w:p w14:paraId="49BBB7CF">
      <w:pPr>
        <w:numPr>
          <w:ilvl w:val="1"/>
          <w:numId w:val="29"/>
        </w:numPr>
        <w:spacing w:before="0" w:after="0"/>
        <w:ind w:left="1440" w:hanging="360"/>
      </w:pPr>
      <w:r>
        <w:rPr>
          <w:b/>
        </w:rPr>
        <w:t>≤40 组</w:t>
      </w:r>
      <w:r>
        <w:t>：9项研究，汇总效应为</w:t>
      </w:r>
      <w:r>
        <w:rPr>
          <w:b/>
        </w:rPr>
        <w:t>中等正效应</w:t>
      </w:r>
      <w:r>
        <w:t>（SMD≈0.38），且效应显著。组内异质性</w:t>
      </w:r>
      <w:r>
        <w:rPr>
          <w:b/>
        </w:rPr>
        <w:t>较低</w:t>
      </w:r>
      <w:r>
        <w:t>（I²=33.5%），结果较为一致。</w:t>
      </w:r>
    </w:p>
    <w:p w14:paraId="01C241BD">
      <w:pPr>
        <w:numPr>
          <w:ilvl w:val="1"/>
          <w:numId w:val="29"/>
        </w:numPr>
        <w:spacing w:before="0" w:after="0"/>
        <w:ind w:left="1440" w:hanging="360"/>
      </w:pPr>
      <w:r>
        <w:rPr>
          <w:b/>
        </w:rPr>
        <w:t>&gt;40 组</w:t>
      </w:r>
      <w:r>
        <w:t>：7项研究，汇总效应为</w:t>
      </w:r>
      <w:r>
        <w:rPr>
          <w:b/>
        </w:rPr>
        <w:t>小的正效应</w:t>
      </w:r>
      <w:r>
        <w:t>（SMD≈0.19），效应显著。但组内</w:t>
      </w:r>
      <w:r>
        <w:rPr>
          <w:b/>
        </w:rPr>
        <w:t>异质性极高</w:t>
      </w:r>
      <w:r>
        <w:t>（I²=89.1%），说明这7个研究的结果极不一致。</w:t>
      </w:r>
    </w:p>
    <w:p w14:paraId="64DEE293">
      <w:pPr>
        <w:pStyle w:val="3"/>
      </w:pPr>
      <w:r>
        <w:rPr>
          <w:b/>
        </w:rPr>
        <w:t>3.2 固定效应模型下的亚组差异检验</w:t>
      </w:r>
    </w:p>
    <w:p w14:paraId="24046625">
      <w:r>
        <w:t>Between groups Q=3.51, p=0.0610</w:t>
      </w:r>
    </w:p>
    <w:p w14:paraId="40591E95">
      <w:r>
        <w:t>within groups Q=66.88, p&lt;0.0001</w:t>
      </w:r>
    </w:p>
    <w:p w14:paraId="603F6CD5">
      <w:pPr>
        <w:numPr>
          <w:ilvl w:val="0"/>
          <w:numId w:val="30"/>
        </w:numPr>
        <w:spacing w:before="0" w:after="0"/>
        <w:ind w:left="720" w:hanging="360"/>
      </w:pPr>
      <w:r>
        <w:rPr>
          <w:b/>
        </w:rPr>
        <w:t>解读</w:t>
      </w:r>
      <w:r>
        <w:t>：</w:t>
      </w:r>
    </w:p>
    <w:p w14:paraId="147D5030">
      <w:pPr>
        <w:numPr>
          <w:ilvl w:val="1"/>
          <w:numId w:val="30"/>
        </w:numPr>
        <w:spacing w:before="0" w:after="0"/>
        <w:ind w:left="1440" w:hanging="360"/>
      </w:pPr>
      <w:r>
        <w:rPr>
          <w:b/>
        </w:rPr>
        <w:t>亚组间差异检验 (Between groups)</w:t>
      </w:r>
      <w:r>
        <w:t>:</w:t>
      </w:r>
      <w:r>
        <w:rPr>
          <w:b/>
        </w:rPr>
        <w:t>p=0.0610</w:t>
      </w:r>
      <w:r>
        <w:t>，</w:t>
      </w:r>
      <w:r>
        <w:rPr>
          <w:b/>
        </w:rPr>
        <w:t>略高于</w:t>
      </w:r>
      <w:r>
        <w:t>0.05的常规显著性水平。在固定效应模型下，</w:t>
      </w:r>
      <w:r>
        <w:rPr>
          <w:b/>
        </w:rPr>
        <w:t>两个亚组间的效应量差异处于统计学显著性的边缘，但未达到传统意义上的显著</w:t>
      </w:r>
      <w:r>
        <w:t>。</w:t>
      </w:r>
    </w:p>
    <w:p w14:paraId="057F31FA">
      <w:pPr>
        <w:numPr>
          <w:ilvl w:val="1"/>
          <w:numId w:val="30"/>
        </w:numPr>
        <w:spacing w:before="0" w:after="0"/>
        <w:ind w:left="1440" w:hanging="360"/>
      </w:pPr>
      <w:r>
        <w:rPr>
          <w:b/>
        </w:rPr>
        <w:t>组内异质性 (Within groups)</w:t>
      </w:r>
      <w:r>
        <w:t>: 高度显著，主要来自&gt;40组。</w:t>
      </w:r>
    </w:p>
    <w:p w14:paraId="3EAFBCE9">
      <w:pPr>
        <w:pStyle w:val="3"/>
      </w:pPr>
      <w:r>
        <w:rPr>
          <w:b/>
        </w:rPr>
        <w:t>3.3 随机效应模型下的亚组结果</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384"/>
        <w:gridCol w:w="1384"/>
        <w:gridCol w:w="1384"/>
        <w:gridCol w:w="1384"/>
        <w:gridCol w:w="1384"/>
        <w:gridCol w:w="1384"/>
      </w:tblGrid>
      <w:tr w14:paraId="67238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303491AD">
            <w:pPr>
              <w:jc w:val="center"/>
              <w:rPr>
                <w:b/>
              </w:rPr>
            </w:pPr>
            <w:r>
              <w:rPr>
                <w:b/>
              </w:rPr>
              <w:t>亚组</w:t>
            </w:r>
          </w:p>
        </w:tc>
        <w:tc>
          <w:tcPr>
            <w:tcW w:w="0" w:type="auto"/>
            <w:tcMar>
              <w:left w:w="108" w:type="dxa"/>
              <w:right w:w="108" w:type="dxa"/>
            </w:tcMar>
            <w:vAlign w:val="center"/>
          </w:tcPr>
          <w:p w14:paraId="3D8D6E8F">
            <w:pPr>
              <w:jc w:val="center"/>
              <w:rPr>
                <w:b/>
              </w:rPr>
            </w:pPr>
            <w:r>
              <w:rPr>
                <w:b/>
              </w:rPr>
              <w:t>k</w:t>
            </w:r>
          </w:p>
        </w:tc>
        <w:tc>
          <w:tcPr>
            <w:tcW w:w="0" w:type="auto"/>
            <w:tcMar>
              <w:left w:w="108" w:type="dxa"/>
              <w:right w:w="108" w:type="dxa"/>
            </w:tcMar>
            <w:vAlign w:val="center"/>
          </w:tcPr>
          <w:p w14:paraId="4590B7F0">
            <w:pPr>
              <w:jc w:val="center"/>
              <w:rPr>
                <w:b/>
              </w:rPr>
            </w:pPr>
            <w:r>
              <w:rPr>
                <w:b/>
              </w:rPr>
              <w:t>SMD</w:t>
            </w:r>
          </w:p>
        </w:tc>
        <w:tc>
          <w:tcPr>
            <w:tcW w:w="0" w:type="auto"/>
            <w:tcMar>
              <w:left w:w="108" w:type="dxa"/>
              <w:right w:w="108" w:type="dxa"/>
            </w:tcMar>
            <w:vAlign w:val="center"/>
          </w:tcPr>
          <w:p w14:paraId="2ECA078E">
            <w:pPr>
              <w:jc w:val="center"/>
              <w:rPr>
                <w:b/>
              </w:rPr>
            </w:pPr>
            <w:r>
              <w:rPr>
                <w:b/>
              </w:rPr>
              <w:t>95%-CI</w:t>
            </w:r>
          </w:p>
        </w:tc>
        <w:tc>
          <w:tcPr>
            <w:tcW w:w="0" w:type="auto"/>
            <w:tcMar>
              <w:left w:w="108" w:type="dxa"/>
              <w:right w:w="108" w:type="dxa"/>
            </w:tcMar>
            <w:vAlign w:val="center"/>
          </w:tcPr>
          <w:p w14:paraId="5C7B171C">
            <w:pPr>
              <w:jc w:val="center"/>
              <w:rPr>
                <w:b/>
              </w:rPr>
            </w:pPr>
            <w:r>
              <w:rPr>
                <w:b/>
              </w:rPr>
              <w:t>τ²</w:t>
            </w:r>
          </w:p>
        </w:tc>
        <w:tc>
          <w:tcPr>
            <w:tcW w:w="0" w:type="auto"/>
            <w:tcMar>
              <w:left w:w="108" w:type="dxa"/>
              <w:right w:w="108" w:type="dxa"/>
            </w:tcMar>
            <w:vAlign w:val="center"/>
          </w:tcPr>
          <w:p w14:paraId="019BC68D">
            <w:pPr>
              <w:jc w:val="center"/>
              <w:rPr>
                <w:b/>
              </w:rPr>
            </w:pPr>
            <w:r>
              <w:rPr>
                <w:b/>
              </w:rPr>
              <w:t>τ</w:t>
            </w:r>
          </w:p>
        </w:tc>
      </w:tr>
      <w:tr w14:paraId="471CA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0CF2161B">
            <w:r>
              <w:rPr>
                <w:b/>
              </w:rPr>
              <w:t>Subgroup = ≤40</w:t>
            </w:r>
          </w:p>
        </w:tc>
        <w:tc>
          <w:tcPr>
            <w:tcW w:w="0" w:type="auto"/>
            <w:tcMar>
              <w:left w:w="108" w:type="dxa"/>
              <w:right w:w="108" w:type="dxa"/>
            </w:tcMar>
            <w:vAlign w:val="center"/>
          </w:tcPr>
          <w:p w14:paraId="67F8D65C">
            <w:r>
              <w:t>9</w:t>
            </w:r>
          </w:p>
        </w:tc>
        <w:tc>
          <w:tcPr>
            <w:tcW w:w="0" w:type="auto"/>
            <w:tcMar>
              <w:left w:w="108" w:type="dxa"/>
              <w:right w:w="108" w:type="dxa"/>
            </w:tcMar>
            <w:vAlign w:val="center"/>
          </w:tcPr>
          <w:p w14:paraId="4A050159">
            <w:r>
              <w:t>0.4646</w:t>
            </w:r>
          </w:p>
        </w:tc>
        <w:tc>
          <w:tcPr>
            <w:tcW w:w="0" w:type="auto"/>
            <w:tcMar>
              <w:left w:w="108" w:type="dxa"/>
              <w:right w:w="108" w:type="dxa"/>
            </w:tcMar>
            <w:vAlign w:val="center"/>
          </w:tcPr>
          <w:p w14:paraId="4DBCC352">
            <w:r>
              <w:t>[0.2709; 0.6584]</w:t>
            </w:r>
          </w:p>
        </w:tc>
        <w:tc>
          <w:tcPr>
            <w:tcW w:w="0" w:type="auto"/>
            <w:tcMar>
              <w:left w:w="108" w:type="dxa"/>
              <w:right w:w="108" w:type="dxa"/>
            </w:tcMar>
            <w:vAlign w:val="center"/>
          </w:tcPr>
          <w:p w14:paraId="177763C1">
            <w:r>
              <w:t>0.0252</w:t>
            </w:r>
          </w:p>
        </w:tc>
        <w:tc>
          <w:tcPr>
            <w:tcW w:w="0" w:type="auto"/>
            <w:tcMar>
              <w:left w:w="108" w:type="dxa"/>
              <w:right w:w="108" w:type="dxa"/>
            </w:tcMar>
            <w:vAlign w:val="center"/>
          </w:tcPr>
          <w:p w14:paraId="722539C4">
            <w:r>
              <w:t>0.1587</w:t>
            </w:r>
          </w:p>
        </w:tc>
      </w:tr>
      <w:tr w14:paraId="158F5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78860473">
            <w:r>
              <w:rPr>
                <w:b/>
              </w:rPr>
              <w:t>Subgroup = &gt;40</w:t>
            </w:r>
          </w:p>
        </w:tc>
        <w:tc>
          <w:tcPr>
            <w:tcW w:w="0" w:type="auto"/>
            <w:tcMar>
              <w:left w:w="108" w:type="dxa"/>
              <w:right w:w="108" w:type="dxa"/>
            </w:tcMar>
            <w:vAlign w:val="center"/>
          </w:tcPr>
          <w:p w14:paraId="23A85513">
            <w:r>
              <w:t>7</w:t>
            </w:r>
          </w:p>
        </w:tc>
        <w:tc>
          <w:tcPr>
            <w:tcW w:w="0" w:type="auto"/>
            <w:tcMar>
              <w:left w:w="108" w:type="dxa"/>
              <w:right w:w="108" w:type="dxa"/>
            </w:tcMar>
            <w:vAlign w:val="center"/>
          </w:tcPr>
          <w:p w14:paraId="0FCD8882">
            <w:r>
              <w:t>0.7775</w:t>
            </w:r>
          </w:p>
        </w:tc>
        <w:tc>
          <w:tcPr>
            <w:tcW w:w="0" w:type="auto"/>
            <w:tcMar>
              <w:left w:w="108" w:type="dxa"/>
              <w:right w:w="108" w:type="dxa"/>
            </w:tcMar>
            <w:vAlign w:val="center"/>
          </w:tcPr>
          <w:p w14:paraId="49557214">
            <w:r>
              <w:t>[-0.2790; 1.8340]</w:t>
            </w:r>
          </w:p>
        </w:tc>
        <w:tc>
          <w:tcPr>
            <w:tcW w:w="0" w:type="auto"/>
            <w:tcMar>
              <w:left w:w="108" w:type="dxa"/>
              <w:right w:w="108" w:type="dxa"/>
            </w:tcMar>
            <w:vAlign w:val="center"/>
          </w:tcPr>
          <w:p w14:paraId="444B2E50">
            <w:r>
              <w:t>1.9335</w:t>
            </w:r>
          </w:p>
        </w:tc>
        <w:tc>
          <w:tcPr>
            <w:tcW w:w="0" w:type="auto"/>
            <w:tcMar>
              <w:left w:w="108" w:type="dxa"/>
              <w:right w:w="108" w:type="dxa"/>
            </w:tcMar>
            <w:vAlign w:val="center"/>
          </w:tcPr>
          <w:p w14:paraId="670F9307">
            <w:r>
              <w:t>1.3905</w:t>
            </w:r>
          </w:p>
        </w:tc>
      </w:tr>
    </w:tbl>
    <w:p w14:paraId="509D585B">
      <w:pPr>
        <w:numPr>
          <w:ilvl w:val="0"/>
          <w:numId w:val="31"/>
        </w:numPr>
        <w:spacing w:before="0" w:after="0"/>
        <w:ind w:left="720" w:hanging="360"/>
      </w:pPr>
      <w:r>
        <w:rPr>
          <w:b/>
        </w:rPr>
        <w:t>解读</w:t>
      </w:r>
      <w:r>
        <w:t>：</w:t>
      </w:r>
    </w:p>
    <w:p w14:paraId="50DEF541">
      <w:pPr>
        <w:numPr>
          <w:ilvl w:val="1"/>
          <w:numId w:val="31"/>
        </w:numPr>
        <w:spacing w:before="0" w:after="0"/>
        <w:ind w:left="1440" w:hanging="360"/>
      </w:pPr>
      <w:r>
        <w:rPr>
          <w:b/>
        </w:rPr>
        <w:t>≤40 组</w:t>
      </w:r>
      <w:r>
        <w:t>：效应量略有增大（0.46），仍为</w:t>
      </w:r>
      <w:r>
        <w:rPr>
          <w:b/>
        </w:rPr>
        <w:t>中等正效应且显著</w:t>
      </w:r>
      <w:r>
        <w:t>。τ²几乎为0，表明在考虑随机效应后，该亚组内的研究结果仍然是同质的。</w:t>
      </w:r>
    </w:p>
    <w:p w14:paraId="520F709E">
      <w:pPr>
        <w:numPr>
          <w:ilvl w:val="1"/>
          <w:numId w:val="31"/>
        </w:numPr>
        <w:spacing w:before="0" w:after="0"/>
        <w:ind w:left="1440" w:hanging="360"/>
      </w:pPr>
      <w:r>
        <w:rPr>
          <w:b/>
        </w:rPr>
        <w:t>&gt;40 组</w:t>
      </w:r>
      <w:r>
        <w:t>：结果发生剧变。效应量点估计值变得</w:t>
      </w:r>
      <w:r>
        <w:rPr>
          <w:b/>
        </w:rPr>
        <w:t>极大</w:t>
      </w:r>
      <w:r>
        <w:t>（0.78），但</w:t>
      </w:r>
      <w:r>
        <w:rPr>
          <w:b/>
        </w:rPr>
        <w:t>置信区间极宽</w:t>
      </w:r>
      <w:r>
        <w:t>（-0.28 至 1.83），</w:t>
      </w:r>
      <w:r>
        <w:rPr>
          <w:b/>
        </w:rPr>
        <w:t>包含了0</w:t>
      </w:r>
      <w:r>
        <w:t>，意味着效应在统计上</w:t>
      </w:r>
      <w:r>
        <w:rPr>
          <w:b/>
        </w:rPr>
        <w:t>不显著且高度不确定</w:t>
      </w:r>
      <w:r>
        <w:t>。巨大的τ²(1.93)证实了组内研究结果极度不一致。</w:t>
      </w:r>
    </w:p>
    <w:p w14:paraId="466E63B3">
      <w:pPr>
        <w:pStyle w:val="3"/>
      </w:pPr>
      <w:r>
        <w:rPr>
          <w:b/>
        </w:rPr>
        <w:t>3.4 随机效应模型下的亚组差异检验</w:t>
      </w:r>
    </w:p>
    <w:p w14:paraId="1360B91E">
      <w:r>
        <w:t>Between groups Q=0.33, p=0.5681</w:t>
      </w:r>
    </w:p>
    <w:p w14:paraId="0A151EEB">
      <w:pPr>
        <w:numPr>
          <w:ilvl w:val="0"/>
          <w:numId w:val="32"/>
        </w:numPr>
        <w:spacing w:before="0" w:after="0"/>
        <w:ind w:left="720" w:hanging="360"/>
      </w:pPr>
      <w:r>
        <w:rPr>
          <w:b/>
        </w:rPr>
        <w:t>解读</w:t>
      </w:r>
      <w:r>
        <w:t>：</w:t>
      </w:r>
    </w:p>
    <w:p w14:paraId="12E93364">
      <w:pPr>
        <w:numPr>
          <w:ilvl w:val="1"/>
          <w:numId w:val="32"/>
        </w:numPr>
        <w:spacing w:before="0" w:after="0"/>
        <w:ind w:left="1440" w:hanging="360"/>
      </w:pPr>
      <w:r>
        <w:rPr>
          <w:b/>
        </w:rPr>
        <w:t>亚组间差异检验 (Between groups)</w:t>
      </w:r>
      <w:r>
        <w:t>:</w:t>
      </w:r>
      <w:r>
        <w:rPr>
          <w:b/>
        </w:rPr>
        <w:t>p=0.5681 &gt; 0.05</w:t>
      </w:r>
      <w:r>
        <w:t>。在更可靠的随机效应模型下，</w:t>
      </w:r>
      <w:r>
        <w:rPr>
          <w:b/>
        </w:rPr>
        <w:t>两个亚组间的效应量差异完全没有统计学显著性</w:t>
      </w:r>
      <w:r>
        <w:t>。</w:t>
      </w:r>
    </w:p>
    <w:p w14:paraId="49F2BE33">
      <w:pPr>
        <w:pStyle w:val="2"/>
      </w:pPr>
      <w:r>
        <w:rPr>
          <w:b/>
        </w:rPr>
        <w:t>总结与综合解读</w:t>
      </w:r>
    </w:p>
    <w:p w14:paraId="14D204A7">
      <w:pPr>
        <w:numPr>
          <w:ilvl w:val="0"/>
          <w:numId w:val="33"/>
        </w:numPr>
        <w:spacing w:before="0" w:after="0"/>
        <w:ind w:left="720" w:hanging="360"/>
      </w:pPr>
      <w:r>
        <w:rPr>
          <w:b/>
        </w:rPr>
        <w:t>总体结论</w:t>
      </w:r>
      <w:r>
        <w:t>：该干预措施总体显示出</w:t>
      </w:r>
      <w:r>
        <w:rPr>
          <w:b/>
        </w:rPr>
        <w:t>显著的正效应</w:t>
      </w:r>
      <w:r>
        <w:t>，但研究间存在</w:t>
      </w:r>
      <w:r>
        <w:rPr>
          <w:b/>
        </w:rPr>
        <w:t>高异质性（I²=78.7%）</w:t>
      </w:r>
      <w:r>
        <w:t>。</w:t>
      </w:r>
    </w:p>
    <w:p w14:paraId="5E48E921">
      <w:pPr>
        <w:numPr>
          <w:ilvl w:val="0"/>
          <w:numId w:val="33"/>
        </w:numPr>
        <w:spacing w:before="0" w:after="0"/>
        <w:ind w:left="720" w:hanging="360"/>
      </w:pPr>
      <w:r>
        <w:rPr>
          <w:b/>
        </w:rPr>
        <w:t>亚组分析的发现</w:t>
      </w:r>
      <w:r>
        <w:t>：</w:t>
      </w:r>
    </w:p>
    <w:p w14:paraId="57364D33">
      <w:pPr>
        <w:numPr>
          <w:ilvl w:val="1"/>
          <w:numId w:val="33"/>
        </w:numPr>
        <w:spacing w:before="0" w:after="0"/>
        <w:ind w:left="1440" w:hanging="360"/>
      </w:pPr>
      <w:r>
        <w:rPr>
          <w:b/>
        </w:rPr>
        <w:t>对于变量≤40的研究</w:t>
      </w:r>
      <w:r>
        <w:t>：干预效果</w:t>
      </w:r>
      <w:r>
        <w:rPr>
          <w:b/>
        </w:rPr>
        <w:t>稳定且可靠</w:t>
      </w:r>
      <w:r>
        <w:t>，表现为</w:t>
      </w:r>
      <w:r>
        <w:rPr>
          <w:b/>
        </w:rPr>
        <w:t>一致的中等正效应</w:t>
      </w:r>
      <w:r>
        <w:t>（SMD ≈ 0.38-0.46），且异质性低。</w:t>
      </w:r>
    </w:p>
    <w:p w14:paraId="2680BCB6">
      <w:pPr>
        <w:numPr>
          <w:ilvl w:val="1"/>
          <w:numId w:val="33"/>
        </w:numPr>
        <w:spacing w:before="0" w:after="0"/>
        <w:ind w:left="1440" w:hanging="360"/>
      </w:pPr>
      <w:r>
        <w:rPr>
          <w:b/>
        </w:rPr>
        <w:t>对于变量&gt;40的研究</w:t>
      </w:r>
      <w:r>
        <w:t>：研究结果</w:t>
      </w:r>
      <w:r>
        <w:rPr>
          <w:b/>
        </w:rPr>
        <w:t>极度不一致</w:t>
      </w:r>
      <w:r>
        <w:t>（I²=89.1%，τ²极大），无法得出确切结论。点估计值在两种模型间波动剧烈，且随机效应模型下置信区间极宽，效果高度不确定。</w:t>
      </w:r>
    </w:p>
    <w:p w14:paraId="1007F026">
      <w:pPr>
        <w:numPr>
          <w:ilvl w:val="1"/>
          <w:numId w:val="33"/>
        </w:numPr>
        <w:spacing w:before="0" w:after="0"/>
        <w:ind w:left="1440" w:hanging="360"/>
      </w:pPr>
      <w:r>
        <w:rPr>
          <w:b/>
        </w:rPr>
        <w:t>调节效应检验</w:t>
      </w:r>
      <w:r>
        <w:t>：在固定效应模型下，亚组间差异接近显著（p=0.061），提示可能存在调节作用；但在更可靠的随机效应模型下，这种差异完全消失（p=0.568）。</w:t>
      </w:r>
      <w:r>
        <w:rPr>
          <w:b/>
        </w:rPr>
        <w:t>因此，当前证据不足以支持该变量（以40为界）是干预效果的显著调节因子。</w:t>
      </w:r>
    </w:p>
    <w:p w14:paraId="1B591129">
      <w:pPr>
        <w:numPr>
          <w:ilvl w:val="0"/>
          <w:numId w:val="33"/>
        </w:numPr>
        <w:spacing w:before="0" w:after="0"/>
        <w:ind w:left="720" w:hanging="360"/>
      </w:pPr>
      <w:r>
        <w:rPr>
          <w:b/>
        </w:rPr>
        <w:t>对研究与实践的启示</w:t>
      </w:r>
      <w:r>
        <w:t>：</w:t>
      </w:r>
    </w:p>
    <w:p w14:paraId="32B89FAD">
      <w:pPr>
        <w:numPr>
          <w:ilvl w:val="1"/>
          <w:numId w:val="33"/>
        </w:numPr>
        <w:spacing w:before="0" w:after="0"/>
        <w:ind w:left="1440" w:hanging="360"/>
      </w:pPr>
      <w:r>
        <w:t>在</w:t>
      </w:r>
      <w:r>
        <w:rPr>
          <w:b/>
        </w:rPr>
        <w:t>变量≤40的条件或背景下</w:t>
      </w:r>
      <w:r>
        <w:t>，该干预措施很可能</w:t>
      </w:r>
      <w:r>
        <w:rPr>
          <w:b/>
        </w:rPr>
        <w:t>有效且效果稳定</w:t>
      </w:r>
      <w:r>
        <w:t>，是当前证据最支持的应用场景。</w:t>
      </w:r>
    </w:p>
    <w:p w14:paraId="048D9C25">
      <w:pPr>
        <w:numPr>
          <w:ilvl w:val="1"/>
          <w:numId w:val="33"/>
        </w:numPr>
        <w:spacing w:before="0" w:after="0"/>
        <w:ind w:left="1440" w:hanging="360"/>
      </w:pPr>
      <w:r>
        <w:t>在</w:t>
      </w:r>
      <w:r>
        <w:rPr>
          <w:b/>
        </w:rPr>
        <w:t>变量&gt;40的条件或背景下</w:t>
      </w:r>
      <w:r>
        <w:t>，干预效果</w:t>
      </w:r>
      <w:r>
        <w:rPr>
          <w:b/>
        </w:rPr>
        <w:t>高度不确定</w:t>
      </w:r>
      <w:r>
        <w:t>。该亚组内极高的异质性提示，可能存在其他更重要的因素（如具体实施方案、人群亚特征、环境等）在强烈地调节效果，未来研究需要深入探索。</w:t>
      </w:r>
    </w:p>
    <w:p w14:paraId="7380D230">
      <w:pPr>
        <w:numPr>
          <w:ilvl w:val="1"/>
          <w:numId w:val="33"/>
        </w:numPr>
        <w:spacing w:before="0" w:after="0"/>
        <w:ind w:left="1440" w:hanging="360"/>
      </w:pPr>
      <w:r>
        <w:t>综合来看，该变量本身（≤40 vs &gt;40）</w:t>
      </w:r>
      <w:r>
        <w:rPr>
          <w:b/>
        </w:rPr>
        <w:t>不能作为预测干预效果的有效分类依据</w:t>
      </w:r>
      <w:r>
        <w:t>。实践者应更多关注在变量≤40情境下已验证有效的方案，并对变量&gt;40的情境保持谨慎，需要更多本地化证据。</w:t>
      </w:r>
    </w:p>
    <w:p w14:paraId="181BE6F1"/>
    <w:p w14:paraId="6356C3AD"/>
    <w:p w14:paraId="6D168E93">
      <w:r>
        <w:drawing>
          <wp:inline distT="0" distB="0" distL="114300" distR="114300">
            <wp:extent cx="5269230" cy="6350000"/>
            <wp:effectExtent l="0" t="0" r="7620" b="1270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69230" cy="6350000"/>
                    </a:xfrm>
                    <a:prstGeom prst="rect">
                      <a:avLst/>
                    </a:prstGeom>
                    <a:noFill/>
                    <a:ln>
                      <a:noFill/>
                    </a:ln>
                  </pic:spPr>
                </pic:pic>
              </a:graphicData>
            </a:graphic>
          </wp:inline>
        </w:drawing>
      </w:r>
    </w:p>
    <w:p w14:paraId="0085BE0C">
      <w:pPr>
        <w:widowControl w:val="0"/>
        <w:numPr>
          <w:ilvl w:val="1"/>
          <w:numId w:val="33"/>
        </w:numPr>
        <w:spacing w:before="0" w:after="0"/>
        <w:ind w:left="1440" w:leftChars="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这份文件是第六份元分析报告，探讨了另一个连续变量（推测为干预的持续时间、随访时长等，以 “3”为单位（&lt;3 vs ≥3） ）对干预效果的调节作用。本次分析的一个显著特点是总体异质性水平中等。以下是详细解读：</w:t>
      </w:r>
    </w:p>
    <w:p w14:paraId="3BFD6640">
      <w:pPr>
        <w:widowControl w:val="0"/>
        <w:numPr>
          <w:ilvl w:val="1"/>
          <w:numId w:val="33"/>
        </w:numPr>
        <w:spacing w:before="0" w:after="0"/>
        <w:ind w:left="1200" w:leftChars="4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w:t>
      </w:r>
    </w:p>
    <w:p w14:paraId="6AF1D06D">
      <w:pPr>
        <w:keepNext/>
        <w:keepLines/>
        <w:widowControl w:val="0"/>
        <w:spacing w:before="260" w:beforeLines="0" w:beforeAutospacing="0" w:after="260" w:afterLines="0" w:afterAutospacing="0" w:line="413" w:lineRule="auto"/>
        <w:jc w:val="both"/>
        <w:outlineLvl w:val="2"/>
        <w:rPr>
          <w:rFonts w:hint="eastAsia" w:asciiTheme="minorHAnsi" w:hAnsiTheme="minorHAnsi" w:eastAsiaTheme="minorEastAsia" w:cstheme="minorBidi"/>
          <w:b/>
          <w:kern w:val="2"/>
          <w:sz w:val="32"/>
          <w:szCs w:val="24"/>
          <w:lang w:val="en-US" w:eastAsia="zh-CN" w:bidi="ar-SA"/>
        </w:rPr>
      </w:pPr>
      <w:r>
        <w:rPr>
          <w:rFonts w:hint="eastAsia" w:asciiTheme="minorHAnsi" w:hAnsiTheme="minorHAnsi" w:eastAsiaTheme="minorEastAsia" w:cstheme="minorBidi"/>
          <w:b/>
          <w:kern w:val="2"/>
          <w:sz w:val="32"/>
          <w:szCs w:val="24"/>
          <w:lang w:val="en-US" w:eastAsia="zh-CN" w:bidi="ar-SA"/>
        </w:rPr>
        <w:t xml:space="preserve"> 整体研究概况</w:t>
      </w:r>
    </w:p>
    <w:p w14:paraId="2DBB5C19">
      <w:pPr>
        <w:widowControl w:val="0"/>
        <w:spacing w:before="0" w:after="0"/>
        <w:ind w:left="720" w:leftChars="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Number of studies: </w:t>
      </w:r>
      <m:oMath>
        <m:r>
          <m:rPr/>
          <w:rPr>
            <w:rFonts w:hint="default" w:ascii="Cambria Math"/>
          </w:rPr>
          <m:t>k=11</m:t>
        </m:r>
      </m:oMath>
      <w:r>
        <w:rPr>
          <w:rFonts w:hint="eastAsia" w:asciiTheme="minorHAnsi" w:hAnsiTheme="minorHAnsi" w:eastAsiaTheme="minorEastAsia" w:cstheme="minorBidi"/>
          <w:kern w:val="2"/>
          <w:sz w:val="21"/>
          <w:szCs w:val="24"/>
          <w:lang w:val="en-US" w:eastAsia="zh-CN" w:bidi="ar-SA"/>
        </w:rPr>
        <w:t>： 共纳入 11 项研究（样本量进一步减少）。</w:t>
      </w:r>
    </w:p>
    <w:p w14:paraId="403A56E4">
      <w:pPr>
        <w:widowControl w:val="0"/>
        <w:spacing w:before="0" w:after="0"/>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Number of observations: </w:t>
      </w:r>
      <m:oMath>
        <m:r>
          <m:rPr/>
          <w:rPr>
            <w:rFonts w:hint="default" w:ascii="Cambria Math"/>
          </w:rPr>
          <m:t>o=1310</m:t>
        </m:r>
      </m:oMath>
      <w:r>
        <w:rPr>
          <w:rFonts w:hint="eastAsia" w:asciiTheme="minorHAnsi" w:hAnsiTheme="minorHAnsi" w:eastAsiaTheme="minorEastAsia" w:cstheme="minorBidi"/>
          <w:kern w:val="2"/>
          <w:sz w:val="21"/>
          <w:szCs w:val="24"/>
          <w:lang w:val="en-US" w:eastAsia="zh-CN" w:bidi="ar-SA"/>
        </w:rPr>
        <w:t>： 总样本量为 1310 名受试者。</w:t>
      </w:r>
    </w:p>
    <w:p w14:paraId="014524F5">
      <w:pPr>
        <w:widowControl w:val="0"/>
        <w:spacing w:before="0" w:after="0"/>
        <w:ind w:left="420" w:leftChars="2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`o.e = 665`： 实验组人数。</w:t>
      </w:r>
    </w:p>
    <w:p w14:paraId="75E401D5">
      <w:pPr>
        <w:widowControl w:val="0"/>
        <w:spacing w:before="0" w:after="0"/>
        <w:ind w:left="420" w:leftChars="2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`o.c = 645`： 对照组人数。</w:t>
      </w:r>
    </w:p>
    <w:p w14:paraId="53EBF298">
      <w:pPr>
        <w:keepNext/>
        <w:keepLines/>
        <w:widowControl w:val="0"/>
        <w:spacing w:before="260" w:beforeLines="0" w:beforeAutospacing="0" w:after="260" w:afterLines="0" w:afterAutospacing="0" w:line="413" w:lineRule="auto"/>
        <w:jc w:val="both"/>
        <w:outlineLvl w:val="2"/>
        <w:rPr>
          <w:rFonts w:hint="eastAsia" w:asciiTheme="minorHAnsi" w:hAnsiTheme="minorHAnsi" w:eastAsiaTheme="minorEastAsia" w:cstheme="minorBidi"/>
          <w:b/>
          <w:kern w:val="2"/>
          <w:sz w:val="32"/>
          <w:szCs w:val="24"/>
          <w:lang w:val="en-US" w:eastAsia="zh-CN" w:bidi="ar-SA"/>
        </w:rPr>
      </w:pPr>
      <w:r>
        <w:rPr>
          <w:rFonts w:hint="eastAsia" w:asciiTheme="minorHAnsi" w:hAnsiTheme="minorHAnsi" w:eastAsiaTheme="minorEastAsia" w:cstheme="minorBidi"/>
          <w:b/>
          <w:kern w:val="2"/>
          <w:sz w:val="32"/>
          <w:szCs w:val="24"/>
          <w:lang w:val="en-US" w:eastAsia="zh-CN" w:bidi="ar-SA"/>
        </w:rPr>
        <w:t xml:space="preserve"> 1. 总效应汇总</w:t>
      </w:r>
    </w:p>
    <w:p w14:paraId="67162B34">
      <w:pPr>
        <w:widowControl w:val="0"/>
        <w:spacing w:before="0" w:after="0"/>
        <w:ind w:left="720" w:leftChars="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Common effect model（固定效应模型）</w:t>
      </w:r>
    </w:p>
    <w:p w14:paraId="797BA943">
      <w:pPr>
        <w:widowControl w:val="0"/>
        <w:spacing w:before="0" w:after="0"/>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SMD = 0.2644 [0.1546; 0.3742]： 汇总效应量为小的正效应，且效应显著。</w:t>
      </w:r>
    </w:p>
    <w:p w14:paraId="7F1062D0">
      <w:pPr>
        <w:widowControl w:val="0"/>
        <w:spacing w:before="0" w:after="0"/>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z = 4.72, p &lt; 0.0001： 统计检验高度显著。</w:t>
      </w:r>
    </w:p>
    <w:p w14:paraId="5E945BBF">
      <w:pPr>
        <w:widowControl w:val="0"/>
        <w:spacing w:before="0" w:after="0"/>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Random effects model（随机效应模型）</w:t>
      </w:r>
    </w:p>
    <w:p w14:paraId="49DEB280">
      <w:pPr>
        <w:widowControl w:val="0"/>
        <w:spacing w:before="0" w:after="0"/>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SMD = 0.3771 [0.1932; 0.5611]： 汇总效应量仍为小的正效应，置信区间比固定效应模型稍宽，效应仍高度显著。</w:t>
      </w:r>
    </w:p>
    <w:p w14:paraId="61047D6F">
      <w:pPr>
        <w:widowControl w:val="0"/>
        <w:spacing w:before="0" w:after="0"/>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z = 4.02, p &lt; 0.0001： 统计检验高度显著。</w:t>
      </w:r>
    </w:p>
    <w:p w14:paraId="1E3A2F02">
      <w:pPr>
        <w:widowControl w:val="0"/>
        <w:spacing w:before="0" w:after="0"/>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&gt; 关键点：两个模型的结果数值上较为接近，且置信区间有重叠。这与前几次分析中两者差异巨大的情况不同，提示总体异质性可能较低。</w:t>
      </w:r>
    </w:p>
    <w:p w14:paraId="666708D6">
      <w:pPr>
        <w:keepNext/>
        <w:keepLines/>
        <w:widowControl w:val="0"/>
        <w:spacing w:before="260" w:beforeLines="0" w:beforeAutospacing="0" w:after="260" w:afterLines="0" w:afterAutospacing="0" w:line="413" w:lineRule="auto"/>
        <w:jc w:val="both"/>
        <w:outlineLvl w:val="2"/>
        <w:rPr>
          <w:rFonts w:hint="eastAsia" w:asciiTheme="minorHAnsi" w:hAnsiTheme="minorHAnsi" w:eastAsiaTheme="minorEastAsia" w:cstheme="minorBidi"/>
          <w:b/>
          <w:kern w:val="2"/>
          <w:sz w:val="32"/>
          <w:szCs w:val="24"/>
          <w:lang w:val="en-US" w:eastAsia="zh-CN" w:bidi="ar-SA"/>
        </w:rPr>
      </w:pPr>
      <w:r>
        <w:rPr>
          <w:rFonts w:hint="eastAsia" w:asciiTheme="minorHAnsi" w:hAnsiTheme="minorHAnsi" w:eastAsiaTheme="minorEastAsia" w:cstheme="minorBidi"/>
          <w:b/>
          <w:kern w:val="2"/>
          <w:sz w:val="32"/>
          <w:szCs w:val="24"/>
          <w:lang w:val="en-US" w:eastAsia="zh-CN" w:bidi="ar-SA"/>
        </w:rPr>
        <w:t xml:space="preserve"> 2. 异质性分析</w:t>
      </w:r>
    </w:p>
    <w:p w14:paraId="0C442404">
      <w:pPr>
        <w:widowControl w:val="0"/>
        <w:spacing w:before="0" w:after="0"/>
        <w:ind w:left="720" w:leftChars="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tau² = 0.0420: 研究间真实效应量的方差估计值很小。</w:t>
      </w:r>
    </w:p>
    <w:p w14:paraId="1890806C">
      <w:pPr>
        <w:widowControl w:val="0"/>
        <w:spacing w:before="0" w:after="0"/>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I² = 51.4%: 51.4% 的效应量变异由研究间的真实差异引起，属于中等异质性。</w:t>
      </w:r>
    </w:p>
    <w:p w14:paraId="5EE6DCAE">
      <w:pPr>
        <w:widowControl w:val="0"/>
        <w:spacing w:before="0" w:after="0"/>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Q检验 </w:t>
      </w:r>
      <m:oMath>
        <m:r>
          <m:rPr/>
          <w:rPr>
            <w:rFonts w:hint="default" w:ascii="Cambria Math"/>
          </w:rPr>
          <m:t>Q=20.59,p=0.0241</m:t>
        </m:r>
      </m:oMath>
      <w:r>
        <w:rPr>
          <w:rFonts w:hint="eastAsia" w:asciiTheme="minorHAnsi" w:hAnsiTheme="minorHAnsi" w:eastAsiaTheme="minorEastAsia" w:cstheme="minorBidi"/>
          <w:kern w:val="2"/>
          <w:sz w:val="21"/>
          <w:szCs w:val="24"/>
          <w:lang w:val="en-US" w:eastAsia="zh-CN" w:bidi="ar-SA"/>
        </w:rPr>
        <w:t>： 检验结果显著（p&lt;0.05），证实存在异质性，但其程度远低于前几次分析（I²=78%-85%）。</w:t>
      </w:r>
    </w:p>
    <w:p w14:paraId="0CB1546B">
      <w:pPr>
        <w:widowControl w:val="0"/>
        <w:spacing w:before="0" w:after="0"/>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&gt; 结论：</w:t>
      </w:r>
      <w:r>
        <w:rPr>
          <w:rFonts w:hint="eastAsia" w:asciiTheme="minorHAnsi" w:hAnsiTheme="minorHAnsi" w:eastAsiaTheme="minorEastAsia" w:cstheme="minorBidi"/>
          <w:kern w:val="2"/>
          <w:sz w:val="21"/>
          <w:szCs w:val="24"/>
          <w:lang w:val="en-US" w:eastAsia="zh-CN" w:bidi="ar-SA"/>
        </w:rPr>
        <w:t>存在中等程度的、显著的异质性。虽然随机效应模型仍更适用，但由于异质性不高，两个模型的汇总结果不会相差太大。</w:t>
      </w:r>
    </w:p>
    <w:p w14:paraId="79D25CD8">
      <w:pPr>
        <w:widowControl w:val="0"/>
        <w:spacing w:before="0" w:after="0"/>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w:t>
      </w:r>
    </w:p>
    <w:p w14:paraId="08D744C5">
      <w:pPr>
        <w:widowControl w:val="0"/>
        <w:spacing w:before="0" w:after="0"/>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3. 亚组分析：按“某变量”分层 (&lt;3 vs ≥3)</w:t>
      </w:r>
    </w:p>
    <w:p w14:paraId="54258F59">
      <w:pPr>
        <w:widowControl w:val="0"/>
        <w:spacing w:before="0" w:after="0"/>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分析旨在回答：干预效果是否因该变量的不同水平（低水平&lt;3 vs 高水平≥3）而存在差异？</w:t>
      </w:r>
    </w:p>
    <w:p w14:paraId="75EAACED">
      <w:pPr>
        <w:widowControl w:val="0"/>
        <w:spacing w:before="0" w:after="0"/>
        <w:ind w:left="840" w:leftChars="4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3.1 固定效应模型下的亚组结果</w:t>
      </w:r>
    </w:p>
    <w:p w14:paraId="591C72F3">
      <w:pPr>
        <w:jc w:val="center"/>
        <w:rPr>
          <w:rFonts w:hint="default" w:ascii="Calibri" w:hAnsi="Calibri" w:cs="Calibri"/>
        </w:rPr>
      </w:pPr>
      <w:r>
        <w:rPr>
          <w:rFonts w:hint="default" w:ascii="Calibri" w:hAnsi="Calibri" w:cs="Calibri"/>
        </w:rPr>
        <w:t>亚组分析结果表</w:t>
      </w:r>
    </w:p>
    <w:tbl>
      <w:tblP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147"/>
        <w:gridCol w:w="572"/>
        <w:gridCol w:w="1245"/>
        <w:gridCol w:w="2392"/>
        <w:gridCol w:w="1094"/>
        <w:gridCol w:w="1156"/>
      </w:tblGrid>
      <w:tr w14:paraId="73A71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D16CCBF">
            <w:pPr>
              <w:jc w:val="center"/>
              <w:rPr>
                <w:rFonts w:hint="default" w:ascii="Calibri" w:hAnsi="Calibri" w:cs="Calibri"/>
                <w:b/>
              </w:rPr>
            </w:pPr>
            <w:r>
              <w:rPr>
                <w:rFonts w:hint="default" w:ascii="Calibri" w:hAnsi="Calibri" w:cs="Calibri"/>
                <w:b/>
              </w:rPr>
              <w:t>亚组</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EC712E7">
            <w:pPr>
              <w:jc w:val="center"/>
              <w:rPr>
                <w:rFonts w:hint="default" w:ascii="Calibri" w:hAnsi="Calibri" w:cs="Calibri"/>
                <w:b/>
              </w:rPr>
            </w:pPr>
            <w:r>
              <w:rPr>
                <w:rFonts w:hint="default" w:ascii="Calibri" w:hAnsi="Calibri" w:cs="Calibri"/>
                <w:b/>
              </w:rPr>
              <w:t>k</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94177DA">
            <w:pPr>
              <w:jc w:val="center"/>
              <w:rPr>
                <w:rFonts w:hint="default" w:ascii="Calibri" w:hAnsi="Calibri" w:cs="Calibri"/>
                <w:b/>
              </w:rPr>
            </w:pPr>
            <w:r>
              <w:rPr>
                <w:rFonts w:hint="default" w:ascii="Calibri" w:hAnsi="Calibri" w:cs="Calibri"/>
                <w:b/>
              </w:rPr>
              <w:t>SMD</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E04D65F">
            <w:pPr>
              <w:jc w:val="center"/>
              <w:rPr>
                <w:rFonts w:hint="default" w:ascii="Calibri" w:hAnsi="Calibri" w:cs="Calibri"/>
                <w:b/>
              </w:rPr>
            </w:pPr>
            <w:r>
              <w:rPr>
                <w:rFonts w:hint="default" w:ascii="Calibri" w:hAnsi="Calibri" w:cs="Calibri"/>
                <w:b/>
              </w:rPr>
              <w:t>95%-CI</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9E725E2">
            <w:pPr>
              <w:jc w:val="center"/>
              <w:rPr>
                <w:rFonts w:hint="default" w:ascii="Calibri" w:hAnsi="Calibri" w:cs="Calibri"/>
                <w:b/>
              </w:rPr>
            </w:pPr>
            <w:r>
              <w:rPr>
                <w:rFonts w:hint="default" w:ascii="Calibri" w:hAnsi="Calibri" w:cs="Calibri"/>
                <w:b/>
              </w:rPr>
              <w:t>Q</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B59CA4C">
            <w:pPr>
              <w:jc w:val="center"/>
              <w:rPr>
                <w:rFonts w:hint="default" w:ascii="Calibri" w:hAnsi="Calibri" w:cs="Calibri"/>
                <w:b/>
              </w:rPr>
            </w:pPr>
            <w:r>
              <w:rPr>
                <w:rFonts w:hint="default" w:ascii="Calibri" w:hAnsi="Calibri" w:cs="Calibri"/>
                <w:b/>
              </w:rPr>
              <w:t>I²</w:t>
            </w:r>
          </w:p>
        </w:tc>
      </w:tr>
      <w:tr w14:paraId="30ED7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554C94E">
            <w:pPr>
              <w:jc w:val="left"/>
              <w:rPr>
                <w:rFonts w:hint="default" w:ascii="Calibri" w:hAnsi="Calibri" w:cs="Calibri"/>
              </w:rPr>
            </w:pPr>
            <w:r>
              <w:rPr>
                <w:rFonts w:hint="default" w:ascii="Calibri" w:hAnsi="Calibri" w:cs="Calibri"/>
              </w:rPr>
              <w:t>Subgroup = &lt;3</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D30FD28">
            <w:pPr>
              <w:jc w:val="left"/>
              <w:rPr>
                <w:rFonts w:hint="default" w:ascii="Calibri" w:hAnsi="Calibri" w:cs="Calibri"/>
              </w:rPr>
            </w:pPr>
            <w:r>
              <w:rPr>
                <w:rFonts w:hint="default" w:ascii="Calibri" w:hAnsi="Calibri" w:cs="Calibri"/>
              </w:rPr>
              <w:t>5</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9F2F348">
            <w:pPr>
              <w:jc w:val="left"/>
              <w:rPr>
                <w:rFonts w:hint="default" w:ascii="Calibri" w:hAnsi="Calibri" w:cs="Calibri"/>
              </w:rPr>
            </w:pPr>
            <w:r>
              <w:rPr>
                <w:rFonts w:hint="default" w:ascii="Calibri" w:hAnsi="Calibri" w:cs="Calibri"/>
              </w:rPr>
              <w:t>0.2744</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80B806B">
            <w:pPr>
              <w:jc w:val="left"/>
              <w:rPr>
                <w:rFonts w:hint="default" w:ascii="Calibri" w:hAnsi="Calibri" w:cs="Calibri"/>
              </w:rPr>
            </w:pPr>
            <w:r>
              <w:rPr>
                <w:rFonts w:hint="default" w:ascii="Calibri" w:hAnsi="Calibri" w:cs="Calibri"/>
              </w:rPr>
              <w:t>[0.1218; 0.4269]</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7B1890F">
            <w:pPr>
              <w:jc w:val="left"/>
              <w:rPr>
                <w:rFonts w:hint="default" w:ascii="Calibri" w:hAnsi="Calibri" w:cs="Calibri"/>
              </w:rPr>
            </w:pPr>
            <w:r>
              <w:rPr>
                <w:rFonts w:hint="default" w:ascii="Calibri" w:hAnsi="Calibri" w:cs="Calibri"/>
              </w:rPr>
              <w:t>7.25</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ACF8131">
            <w:pPr>
              <w:jc w:val="left"/>
              <w:rPr>
                <w:rFonts w:hint="default" w:ascii="Calibri" w:hAnsi="Calibri" w:cs="Calibri"/>
              </w:rPr>
            </w:pPr>
            <w:r>
              <w:rPr>
                <w:rFonts w:hint="default" w:ascii="Calibri" w:hAnsi="Calibri" w:cs="Calibri"/>
              </w:rPr>
              <w:t>44.9%</w:t>
            </w:r>
          </w:p>
        </w:tc>
      </w:tr>
      <w:tr w14:paraId="081B2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5F7E3A2">
            <w:pPr>
              <w:jc w:val="left"/>
              <w:rPr>
                <w:rFonts w:hint="default" w:ascii="Calibri" w:hAnsi="Calibri" w:cs="Calibri"/>
              </w:rPr>
            </w:pPr>
            <w:r>
              <w:rPr>
                <w:rFonts w:hint="default" w:ascii="Calibri" w:hAnsi="Calibri" w:cs="Calibri"/>
              </w:rPr>
              <w:t>Subgroup = ≥3</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6BF1A6C">
            <w:pPr>
              <w:jc w:val="left"/>
              <w:rPr>
                <w:rFonts w:hint="default" w:ascii="Calibri" w:hAnsi="Calibri" w:cs="Calibri"/>
              </w:rPr>
            </w:pPr>
            <w:r>
              <w:rPr>
                <w:rFonts w:hint="default" w:ascii="Calibri" w:hAnsi="Calibri" w:cs="Calibri"/>
              </w:rPr>
              <w:t>6</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ACD9B76">
            <w:pPr>
              <w:jc w:val="left"/>
              <w:rPr>
                <w:rFonts w:hint="default" w:ascii="Calibri" w:hAnsi="Calibri" w:cs="Calibri"/>
              </w:rPr>
            </w:pPr>
            <w:r>
              <w:rPr>
                <w:rFonts w:hint="default" w:ascii="Calibri" w:hAnsi="Calibri" w:cs="Calibri"/>
              </w:rPr>
              <w:t>0.2537</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5AF5143">
            <w:pPr>
              <w:jc w:val="left"/>
              <w:rPr>
                <w:rFonts w:hint="default" w:ascii="Calibri" w:hAnsi="Calibri" w:cs="Calibri"/>
              </w:rPr>
            </w:pPr>
            <w:r>
              <w:rPr>
                <w:rFonts w:hint="default" w:ascii="Calibri" w:hAnsi="Calibri" w:cs="Calibri"/>
              </w:rPr>
              <w:t>[0.0955; 0.4119]</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C54FF10">
            <w:pPr>
              <w:jc w:val="left"/>
              <w:rPr>
                <w:rFonts w:hint="default" w:ascii="Calibri" w:hAnsi="Calibri" w:cs="Calibri"/>
              </w:rPr>
            </w:pPr>
            <w:r>
              <w:rPr>
                <w:rFonts w:hint="default" w:ascii="Calibri" w:hAnsi="Calibri" w:cs="Calibri"/>
              </w:rPr>
              <w:t>13.30</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1E02B91">
            <w:pPr>
              <w:jc w:val="left"/>
              <w:rPr>
                <w:rFonts w:hint="default" w:ascii="Calibri" w:hAnsi="Calibri" w:cs="Calibri"/>
              </w:rPr>
            </w:pPr>
            <w:r>
              <w:rPr>
                <w:rFonts w:hint="default" w:ascii="Calibri" w:hAnsi="Calibri" w:cs="Calibri"/>
              </w:rPr>
              <w:t>62.4%</w:t>
            </w:r>
          </w:p>
        </w:tc>
      </w:tr>
    </w:tbl>
    <w:p w14:paraId="4151EC79">
      <w:pPr>
        <w:widowControl w:val="0"/>
        <w:spacing w:before="0" w:after="0"/>
        <w:ind w:left="840" w:leftChars="400" w:firstLine="420" w:firstLineChars="200"/>
        <w:jc w:val="both"/>
        <w:rPr>
          <w:rFonts w:hint="eastAsia" w:asciiTheme="minorHAnsi" w:hAnsiTheme="minorHAnsi" w:eastAsiaTheme="minorEastAsia" w:cstheme="minorBidi"/>
          <w:kern w:val="2"/>
          <w:sz w:val="21"/>
          <w:szCs w:val="24"/>
          <w:lang w:val="en-US" w:eastAsia="zh-CN" w:bidi="ar-SA"/>
        </w:rPr>
      </w:pPr>
    </w:p>
    <w:p w14:paraId="73615443">
      <w:pPr>
        <w:widowControl w:val="0"/>
        <w:spacing w:before="0" w:after="0"/>
        <w:ind w:left="840" w:leftChars="4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解读：</w:t>
      </w:r>
    </w:p>
    <w:p w14:paraId="17291579">
      <w:pPr>
        <w:widowControl w:val="0"/>
        <w:spacing w:before="0" w:after="0"/>
        <w:ind w:left="840" w:leftChars="4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&lt;3 组：5项研究，汇总效应为小的正效应（SMD≈0.27），且效应显著。组内存在低到中度异质性（I²=44.9%）。</w:t>
      </w:r>
    </w:p>
    <w:p w14:paraId="195B3DF0">
      <w:pPr>
        <w:widowControl w:val="0"/>
        <w:spacing w:before="0" w:after="0"/>
        <w:ind w:left="840" w:leftChars="4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≥3 组：6项研究，汇总效应为小的正效应（SMD≈0.25），且效应显著。组内存在中度异质性（I²=62.4%）。</w:t>
      </w:r>
    </w:p>
    <w:p w14:paraId="49228617">
      <w:pPr>
        <w:widowControl w:val="0"/>
        <w:spacing w:before="0" w:after="0"/>
        <w:ind w:left="840" w:leftChars="4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初步观察：两个亚组的效应量点估计值非常接近。</w:t>
      </w:r>
    </w:p>
    <w:p w14:paraId="6B21CB7A">
      <w:pPr>
        <w:widowControl w:val="0"/>
        <w:spacing w:before="0" w:after="0"/>
        <w:ind w:left="840" w:leftChars="4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3.2 固定效应模型下的亚组差异检验</w:t>
      </w:r>
    </w:p>
    <w:p w14:paraId="27EABCC8">
      <w:pPr>
        <w:widowControl w:val="0"/>
        <w:spacing w:before="0" w:after="0"/>
        <w:ind w:left="840" w:leftChars="4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w:t>
      </w:r>
    </w:p>
    <w:p w14:paraId="0FF099E3">
      <w:pPr>
        <w:widowControl w:val="0"/>
        <w:spacing w:before="0" w:after="0"/>
        <w:ind w:left="840" w:leftChars="4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Between groups  Q=0.03, p=0.8541</w:t>
      </w:r>
    </w:p>
    <w:p w14:paraId="5074FB2E">
      <w:pPr>
        <w:widowControl w:val="0"/>
        <w:spacing w:before="0" w:after="0"/>
        <w:ind w:left="840" w:leftChars="4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within groups   Q=20.56, p=0.0148</w:t>
      </w:r>
    </w:p>
    <w:p w14:paraId="0AE43966">
      <w:pPr>
        <w:widowControl w:val="0"/>
        <w:spacing w:before="0" w:after="0"/>
        <w:ind w:left="840" w:leftChars="4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w:t>
      </w:r>
    </w:p>
    <w:p w14:paraId="2A0F4FEA">
      <w:pPr>
        <w:widowControl w:val="0"/>
        <w:spacing w:before="0" w:after="0"/>
        <w:ind w:left="840" w:leftChars="4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解读：</w:t>
      </w:r>
    </w:p>
    <w:p w14:paraId="09D4A4BD">
      <w:pPr>
        <w:widowControl w:val="0"/>
        <w:spacing w:before="0" w:after="0"/>
        <w:ind w:left="840" w:leftChars="4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亚组间差异检验 (Between groups): p=0.8541 &gt; 0.05。这表明，在固定效应模型下，两个亚组间的效应量差异完全没有统计学意义。</w:t>
      </w:r>
    </w:p>
    <w:p w14:paraId="3883510A">
      <w:pPr>
        <w:widowControl w:val="0"/>
        <w:spacing w:before="0" w:after="0"/>
        <w:ind w:left="840" w:leftChars="4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组内异质性 (Within groups): 检验显著（p=0.0148），证实了两个亚组内部各自存在一定的异质性。</w:t>
      </w:r>
    </w:p>
    <w:p w14:paraId="4DD8EE24">
      <w:pPr>
        <w:widowControl w:val="0"/>
        <w:spacing w:before="0" w:after="0"/>
        <w:ind w:left="840" w:leftChars="4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3.3 随机效应模型下的亚组结果</w:t>
      </w:r>
    </w:p>
    <w:p w14:paraId="49737FB8">
      <w:pPr>
        <w:jc w:val="center"/>
        <w:rPr>
          <w:rFonts w:hint="default" w:ascii="Calibri" w:hAnsi="Calibri" w:cs="Calibri"/>
        </w:rPr>
      </w:pPr>
      <w:r>
        <w:rPr>
          <w:rFonts w:hint="default" w:ascii="Calibri" w:hAnsi="Calibri" w:cs="Calibri"/>
        </w:rPr>
        <w:t>亚组分析表</w:t>
      </w:r>
    </w:p>
    <w:tbl>
      <w:tblP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055"/>
        <w:gridCol w:w="547"/>
        <w:gridCol w:w="1191"/>
        <w:gridCol w:w="2290"/>
        <w:gridCol w:w="1331"/>
        <w:gridCol w:w="1192"/>
      </w:tblGrid>
      <w:tr w14:paraId="6AAF1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AA5A54A">
            <w:pPr>
              <w:jc w:val="center"/>
              <w:rPr>
                <w:rFonts w:hint="default" w:ascii="Calibri" w:hAnsi="Calibri" w:cs="Calibri"/>
                <w:b/>
              </w:rPr>
            </w:pPr>
            <w:r>
              <w:rPr>
                <w:rFonts w:hint="default" w:ascii="Calibri" w:hAnsi="Calibri" w:cs="Calibri"/>
                <w:b/>
              </w:rPr>
              <w:t>亚组</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FA54BAF">
            <w:pPr>
              <w:jc w:val="center"/>
              <w:rPr>
                <w:rFonts w:hint="default" w:ascii="Calibri" w:hAnsi="Calibri" w:cs="Calibri"/>
                <w:b/>
              </w:rPr>
            </w:pPr>
            <w:r>
              <w:rPr>
                <w:rFonts w:hint="default" w:ascii="Calibri" w:hAnsi="Calibri" w:cs="Calibri"/>
                <w:b/>
              </w:rPr>
              <w:t>k</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B643494">
            <w:pPr>
              <w:jc w:val="center"/>
              <w:rPr>
                <w:rFonts w:hint="default" w:ascii="Calibri" w:hAnsi="Calibri" w:cs="Calibri"/>
                <w:b/>
              </w:rPr>
            </w:pPr>
            <w:r>
              <w:rPr>
                <w:rFonts w:hint="default" w:ascii="Calibri" w:hAnsi="Calibri" w:cs="Calibri"/>
                <w:b/>
              </w:rPr>
              <w:t>SMD</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88666FC">
            <w:pPr>
              <w:jc w:val="center"/>
              <w:rPr>
                <w:rFonts w:hint="default" w:ascii="Calibri" w:hAnsi="Calibri" w:cs="Calibri"/>
                <w:b/>
              </w:rPr>
            </w:pPr>
            <w:r>
              <w:rPr>
                <w:rFonts w:hint="default" w:ascii="Calibri" w:hAnsi="Calibri" w:cs="Calibri"/>
                <w:b/>
              </w:rPr>
              <w:t>95%-CI</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09E9E8E">
            <w:pPr>
              <w:jc w:val="center"/>
              <w:rPr>
                <w:rFonts w:hint="default" w:ascii="Calibri" w:hAnsi="Calibri" w:cs="Calibri"/>
                <w:b/>
              </w:rPr>
            </w:pPr>
            <w:r>
              <w:rPr>
                <w:rFonts w:hint="default" w:ascii="Calibri" w:hAnsi="Calibri" w:cs="Calibri"/>
                <w:b/>
              </w:rPr>
              <w:t>τ²</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4E67882">
            <w:pPr>
              <w:jc w:val="center"/>
              <w:rPr>
                <w:rFonts w:hint="default" w:ascii="Calibri" w:hAnsi="Calibri" w:cs="Calibri"/>
                <w:b/>
              </w:rPr>
            </w:pPr>
            <w:r>
              <w:rPr>
                <w:rFonts w:hint="default" w:ascii="Calibri" w:hAnsi="Calibri" w:cs="Calibri"/>
                <w:b/>
              </w:rPr>
              <w:t>τ</w:t>
            </w:r>
          </w:p>
        </w:tc>
      </w:tr>
      <w:tr w14:paraId="02BE9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9199F4D">
            <w:pPr>
              <w:jc w:val="left"/>
              <w:rPr>
                <w:rFonts w:hint="default" w:ascii="Calibri" w:hAnsi="Calibri" w:cs="Calibri"/>
              </w:rPr>
            </w:pPr>
            <w:r>
              <w:rPr>
                <w:rFonts w:hint="default" w:ascii="Calibri" w:hAnsi="Calibri" w:cs="Calibri"/>
              </w:rPr>
              <w:t>Subgroup = &lt;3</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35ABCA0">
            <w:pPr>
              <w:jc w:val="left"/>
              <w:rPr>
                <w:rFonts w:hint="default" w:ascii="Calibri" w:hAnsi="Calibri" w:cs="Calibri"/>
              </w:rPr>
            </w:pPr>
            <w:r>
              <w:rPr>
                <w:rFonts w:hint="default" w:ascii="Calibri" w:hAnsi="Calibri" w:cs="Calibri"/>
              </w:rPr>
              <w:t>5</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6BA829F">
            <w:pPr>
              <w:jc w:val="left"/>
              <w:rPr>
                <w:rFonts w:hint="default" w:ascii="Calibri" w:hAnsi="Calibri" w:cs="Calibri"/>
              </w:rPr>
            </w:pPr>
            <w:r>
              <w:rPr>
                <w:rFonts w:hint="default" w:ascii="Calibri" w:hAnsi="Calibri" w:cs="Calibri"/>
              </w:rPr>
              <w:t>0.2744</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437A0D3">
            <w:pPr>
              <w:jc w:val="left"/>
              <w:rPr>
                <w:rFonts w:hint="default" w:ascii="Calibri" w:hAnsi="Calibri" w:cs="Calibri"/>
              </w:rPr>
            </w:pPr>
            <w:r>
              <w:rPr>
                <w:rFonts w:hint="default" w:ascii="Calibri" w:hAnsi="Calibri" w:cs="Calibri"/>
              </w:rPr>
              <w:t>[0.1218; 0.4269]</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5F203BA">
            <w:pPr>
              <w:jc w:val="left"/>
              <w:rPr>
                <w:rFonts w:hint="default" w:ascii="Calibri" w:hAnsi="Calibri" w:cs="Calibri"/>
              </w:rPr>
            </w:pPr>
            <w:r>
              <w:rPr>
                <w:rFonts w:hint="default" w:ascii="Calibri" w:hAnsi="Calibri" w:cs="Calibri"/>
              </w:rPr>
              <w:t>&lt;0.0001</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8E5EBD5">
            <w:pPr>
              <w:jc w:val="left"/>
              <w:rPr>
                <w:rFonts w:hint="default" w:ascii="Calibri" w:hAnsi="Calibri" w:cs="Calibri"/>
              </w:rPr>
            </w:pPr>
            <w:r>
              <w:rPr>
                <w:rFonts w:hint="default" w:ascii="Calibri" w:hAnsi="Calibri" w:cs="Calibri"/>
              </w:rPr>
              <w:t>0.0018</w:t>
            </w:r>
          </w:p>
        </w:tc>
      </w:tr>
      <w:tr w14:paraId="29DC4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80398A4">
            <w:pPr>
              <w:jc w:val="left"/>
              <w:rPr>
                <w:rFonts w:hint="default" w:ascii="Calibri" w:hAnsi="Calibri" w:cs="Calibri"/>
              </w:rPr>
            </w:pPr>
            <w:r>
              <w:rPr>
                <w:rFonts w:hint="default" w:ascii="Calibri" w:hAnsi="Calibri" w:cs="Calibri"/>
              </w:rPr>
              <w:t>Subgroup = ≥3</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60374C4">
            <w:pPr>
              <w:jc w:val="left"/>
              <w:rPr>
                <w:rFonts w:hint="default" w:ascii="Calibri" w:hAnsi="Calibri" w:cs="Calibri"/>
              </w:rPr>
            </w:pPr>
            <w:r>
              <w:rPr>
                <w:rFonts w:hint="default" w:ascii="Calibri" w:hAnsi="Calibri" w:cs="Calibri"/>
              </w:rPr>
              <w:t>6</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F44ADCB">
            <w:pPr>
              <w:jc w:val="left"/>
              <w:rPr>
                <w:rFonts w:hint="default" w:ascii="Calibri" w:hAnsi="Calibri" w:cs="Calibri"/>
              </w:rPr>
            </w:pPr>
            <w:r>
              <w:rPr>
                <w:rFonts w:hint="default" w:ascii="Calibri" w:hAnsi="Calibri" w:cs="Calibri"/>
              </w:rPr>
              <w:t>0.4453</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D6FE4FF">
            <w:pPr>
              <w:jc w:val="left"/>
              <w:rPr>
                <w:rFonts w:hint="default" w:ascii="Calibri" w:hAnsi="Calibri" w:cs="Calibri"/>
              </w:rPr>
            </w:pPr>
            <w:r>
              <w:rPr>
                <w:rFonts w:hint="default" w:ascii="Calibri" w:hAnsi="Calibri" w:cs="Calibri"/>
              </w:rPr>
              <w:t>[0.1531; 0.7376]</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7E3874D">
            <w:pPr>
              <w:jc w:val="left"/>
              <w:rPr>
                <w:rFonts w:hint="default" w:ascii="Calibri" w:hAnsi="Calibri" w:cs="Calibri"/>
              </w:rPr>
            </w:pPr>
            <w:r>
              <w:rPr>
                <w:rFonts w:hint="default" w:ascii="Calibri" w:hAnsi="Calibri" w:cs="Calibri"/>
              </w:rPr>
              <w:t>0.0690</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EA7BECE">
            <w:pPr>
              <w:jc w:val="left"/>
              <w:rPr>
                <w:rFonts w:hint="default" w:ascii="Calibri" w:hAnsi="Calibri" w:cs="Calibri"/>
              </w:rPr>
            </w:pPr>
            <w:r>
              <w:rPr>
                <w:rFonts w:hint="default" w:ascii="Calibri" w:hAnsi="Calibri" w:cs="Calibri"/>
              </w:rPr>
              <w:t>0.2627</w:t>
            </w:r>
          </w:p>
        </w:tc>
      </w:tr>
    </w:tbl>
    <w:p w14:paraId="118C07E9">
      <w:pPr>
        <w:widowControl w:val="0"/>
        <w:spacing w:before="0" w:after="0"/>
        <w:ind w:left="840" w:leftChars="400" w:firstLine="420" w:firstLineChars="200"/>
        <w:jc w:val="both"/>
        <w:rPr>
          <w:rFonts w:hint="eastAsia" w:asciiTheme="minorHAnsi" w:hAnsiTheme="minorHAnsi" w:eastAsiaTheme="minorEastAsia" w:cstheme="minorBidi"/>
          <w:kern w:val="2"/>
          <w:sz w:val="21"/>
          <w:szCs w:val="24"/>
          <w:lang w:val="en-US" w:eastAsia="zh-CN" w:bidi="ar-SA"/>
        </w:rPr>
      </w:pPr>
    </w:p>
    <w:p w14:paraId="7702FC4F">
      <w:pPr>
        <w:widowControl w:val="0"/>
        <w:spacing w:before="0" w:after="0"/>
        <w:ind w:left="840" w:leftChars="4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解读：</w:t>
      </w:r>
    </w:p>
    <w:p w14:paraId="4B26C328">
      <w:pPr>
        <w:widowControl w:val="0"/>
        <w:spacing w:before="0" w:after="0"/>
        <w:ind w:left="840" w:leftChars="4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&lt;3 组：结果与固定效应模型完全一致，且τ²几乎为0。这表明，在考虑了随机效应后，这5个研究被视为完全同质，其汇总估计就是它们简单加权平均的结果。</w:t>
      </w:r>
    </w:p>
    <w:p w14:paraId="21A35B63">
      <w:pPr>
        <w:widowControl w:val="0"/>
        <w:spacing w:before="0" w:after="0"/>
        <w:ind w:left="840" w:leftChars="4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≥3 组：效应量点估计值增大至小到中度（0.45），置信区间显著变宽，但效应仍显著（CI下限&gt;0）。τ²=0.069，表明组内存在一定的异质性，但程度不高。</w:t>
      </w:r>
    </w:p>
    <w:p w14:paraId="4384FACE">
      <w:pPr>
        <w:widowControl w:val="0"/>
        <w:spacing w:before="0" w:after="0"/>
        <w:ind w:left="840" w:leftChars="4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3.4 随机效应模型下的亚组差异检验</w:t>
      </w:r>
    </w:p>
    <w:p w14:paraId="2D3754CA">
      <w:pPr>
        <w:widowControl w:val="0"/>
        <w:spacing w:before="0" w:after="0"/>
        <w:ind w:left="840" w:leftChars="4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w:t>
      </w:r>
    </w:p>
    <w:p w14:paraId="3DB0EA93">
      <w:pPr>
        <w:widowControl w:val="0"/>
        <w:spacing w:before="0" w:after="0"/>
        <w:ind w:left="840" w:leftChars="4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Between groups  Q=1.03, p=0.3094</w:t>
      </w:r>
    </w:p>
    <w:p w14:paraId="2D1B1B59">
      <w:pPr>
        <w:widowControl w:val="0"/>
        <w:spacing w:before="0" w:after="0"/>
        <w:ind w:left="840" w:leftChars="4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w:t>
      </w:r>
    </w:p>
    <w:p w14:paraId="2AA14489">
      <w:pPr>
        <w:widowControl w:val="0"/>
        <w:spacing w:before="0" w:after="0"/>
        <w:ind w:left="840" w:leftChars="4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解读：</w:t>
      </w:r>
    </w:p>
    <w:p w14:paraId="1E490D4A">
      <w:pPr>
        <w:widowControl w:val="0"/>
        <w:spacing w:before="0" w:after="0"/>
        <w:ind w:left="840" w:leftChars="4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亚组间差异检验 (Between groups): p=0.3094 &gt; 0.05。在随机效应模型下，两个亚组间的效应量差异仍然没有统计学显著性。</w:t>
      </w:r>
    </w:p>
    <w:p w14:paraId="2E854ED0">
      <w:pPr>
        <w:widowControl w:val="0"/>
        <w:spacing w:before="0" w:after="0"/>
        <w:ind w:left="840" w:leftChars="400" w:firstLine="420" w:firstLineChars="200"/>
        <w:jc w:val="both"/>
        <w:rPr>
          <w:rFonts w:hint="eastAsia" w:asciiTheme="minorHAnsi" w:hAnsiTheme="minorHAnsi" w:eastAsiaTheme="minorEastAsia" w:cstheme="minorBidi"/>
          <w:kern w:val="2"/>
          <w:sz w:val="21"/>
          <w:szCs w:val="24"/>
          <w:lang w:val="en-US" w:eastAsia="zh-CN" w:bidi="ar-SA"/>
        </w:rPr>
      </w:pPr>
    </w:p>
    <w:p w14:paraId="05861141">
      <w:pPr>
        <w:keepNext/>
        <w:keepLines/>
        <w:widowControl w:val="0"/>
        <w:spacing w:before="260" w:beforeLines="0" w:beforeAutospacing="0" w:after="260" w:afterLines="0" w:afterAutospacing="0" w:line="413" w:lineRule="auto"/>
        <w:jc w:val="both"/>
        <w:outlineLvl w:val="2"/>
        <w:rPr>
          <w:rFonts w:hint="eastAsia" w:asciiTheme="minorHAnsi" w:hAnsiTheme="minorHAnsi" w:eastAsiaTheme="minorEastAsia" w:cstheme="minorBidi"/>
          <w:b/>
          <w:kern w:val="2"/>
          <w:sz w:val="32"/>
          <w:szCs w:val="24"/>
          <w:lang w:val="en-US" w:eastAsia="zh-CN" w:bidi="ar-SA"/>
        </w:rPr>
      </w:pPr>
      <w:r>
        <w:rPr>
          <w:rFonts w:hint="eastAsia" w:asciiTheme="minorHAnsi" w:hAnsiTheme="minorHAnsi" w:eastAsiaTheme="minorEastAsia" w:cstheme="minorBidi"/>
          <w:b/>
          <w:kern w:val="2"/>
          <w:sz w:val="32"/>
          <w:szCs w:val="24"/>
          <w:lang w:val="en-US" w:eastAsia="zh-CN" w:bidi="ar-SA"/>
        </w:rPr>
        <w:t xml:space="preserve"> 总结与综合解读</w:t>
      </w:r>
    </w:p>
    <w:p w14:paraId="366998D3">
      <w:pPr>
        <w:ind w:leftChars="0"/>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1.  总体结论：</w:t>
      </w:r>
      <w:r>
        <w:rPr>
          <w:rFonts w:hint="eastAsia" w:asciiTheme="minorHAnsi" w:hAnsiTheme="minorHAnsi" w:eastAsiaTheme="minorEastAsia" w:cstheme="minorBidi"/>
          <w:b/>
          <w:kern w:val="2"/>
          <w:sz w:val="21"/>
          <w:szCs w:val="24"/>
          <w:lang w:val="en-US" w:eastAsia="zh-CN" w:bidi="ar-SA"/>
        </w:rPr>
        <w:t>该干预措施在本次分析的11项研究中，显示出一致且显著的小的正效应。总体异质性处于中等水平，因此固定与随机效应模型结果相对接近。</w:t>
      </w:r>
    </w:p>
    <w:p w14:paraId="6F126BFC">
      <w:pPr>
        <w:widowControl w:val="0"/>
        <w:ind w:left="0" w:leftChars="0" w:firstLine="0" w:firstLine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2.  亚组分析的发现：</w:t>
      </w:r>
    </w:p>
    <w:p w14:paraId="070A1590">
      <w:pPr>
        <w:widowControl w:val="0"/>
        <w:ind w:leftChars="0" w:firstLine="400" w:firstLineChars="200"/>
        <w:jc w:val="both"/>
        <w:rPr>
          <w:rFonts w:hint="eastAsia" w:asciiTheme="minorHAnsi" w:hAnsiTheme="minorHAnsi" w:eastAsiaTheme="minorEastAsia" w:cstheme="minorBidi"/>
          <w:b/>
          <w:kern w:val="2"/>
          <w:sz w:val="21"/>
          <w:szCs w:val="24"/>
          <w:lang w:val="en-US" w:eastAsia="zh-CN" w:bidi="ar-SA"/>
        </w:rPr>
      </w:pPr>
      <w:r>
        <w:rPr>
          <w:rFonts w:hint="eastAsia"/>
        </w:rPr>
        <w:t xml:space="preserve">   对于变量&lt;3的研究：干预效果稳定，表现为小的正效应（SMD≈0.27），且研究间同质性很高。</w:t>
      </w:r>
    </w:p>
    <w:p w14:paraId="4D72B420">
      <w:pPr>
        <w:widowControl w:val="0"/>
        <w:ind w:leftChars="0" w:firstLine="400" w:firstLineChars="200"/>
        <w:jc w:val="both"/>
        <w:rPr>
          <w:rFonts w:hint="eastAsia" w:asciiTheme="minorHAnsi" w:hAnsiTheme="minorHAnsi" w:eastAsiaTheme="minorEastAsia" w:cstheme="minorBidi"/>
          <w:b/>
          <w:kern w:val="2"/>
          <w:sz w:val="21"/>
          <w:szCs w:val="24"/>
          <w:lang w:val="en-US" w:eastAsia="zh-CN" w:bidi="ar-SA"/>
        </w:rPr>
      </w:pPr>
      <w:r>
        <w:rPr>
          <w:rFonts w:hint="eastAsia"/>
        </w:rPr>
        <w:t xml:space="preserve">   对于变量≥3的研究：干预效果也为正效应，点估计值稍高（SMD≈0.25-0.45），但研究间存在一定变异，导致随机效应模型下估计不那么精确（置信区间较宽）。</w:t>
      </w:r>
    </w:p>
    <w:p w14:paraId="1FDEA215">
      <w:pPr>
        <w:widowControl w:val="0"/>
        <w:ind w:leftChars="0" w:firstLine="400" w:firstLineChars="200"/>
        <w:jc w:val="both"/>
        <w:rPr>
          <w:rFonts w:hint="eastAsia" w:asciiTheme="minorHAnsi" w:hAnsiTheme="minorHAnsi" w:eastAsiaTheme="minorEastAsia" w:cstheme="minorBidi"/>
          <w:b/>
          <w:kern w:val="2"/>
          <w:sz w:val="21"/>
          <w:szCs w:val="24"/>
          <w:lang w:val="en-US" w:eastAsia="zh-CN" w:bidi="ar-SA"/>
        </w:rPr>
      </w:pPr>
      <w:r>
        <w:rPr>
          <w:rFonts w:hint="eastAsia"/>
        </w:rPr>
        <w:t xml:space="preserve">   调节效应检验：无论在固定效应（p=0.854）还是随机效应模型（p=0.309）下，该变量（以3为界）的调节作用均无统计学显著性。两个亚组的效应量置信区间存在大量重叠。</w:t>
      </w:r>
    </w:p>
    <w:p w14:paraId="7ED089B3">
      <w:pPr>
        <w:ind w:leftChars="0"/>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3.  对研究与实践的启示：</w:t>
      </w:r>
    </w:p>
    <w:p w14:paraId="269366B9">
      <w:pPr>
        <w:widowControl w:val="0"/>
        <w:ind w:leftChars="0" w:firstLine="400" w:firstLineChars="200"/>
        <w:jc w:val="both"/>
        <w:rPr>
          <w:rFonts w:hint="eastAsia" w:asciiTheme="minorHAnsi" w:hAnsiTheme="minorHAnsi" w:eastAsiaTheme="minorEastAsia" w:cstheme="minorBidi"/>
          <w:b/>
          <w:kern w:val="2"/>
          <w:sz w:val="21"/>
          <w:szCs w:val="24"/>
          <w:lang w:val="en-US" w:eastAsia="zh-CN" w:bidi="ar-SA"/>
        </w:rPr>
      </w:pPr>
      <w:r>
        <w:rPr>
          <w:rFonts w:hint="eastAsia"/>
        </w:rPr>
        <w:t xml:space="preserve">   当前的元分析证据不支持干预持续时间（或随访时间等）的“长短”（以3为单位）是影响干预效果的关键因素。也就是说，短程（&lt;3）和长程（≥3）干预在整体效果上可能没有本质差别。</w:t>
      </w:r>
    </w:p>
    <w:p w14:paraId="481ADF9B">
      <w:pPr>
        <w:widowControl w:val="0"/>
        <w:ind w:leftChars="0" w:firstLine="400" w:firstLineChars="200"/>
        <w:jc w:val="both"/>
        <w:rPr>
          <w:rFonts w:hint="eastAsia" w:asciiTheme="minorHAnsi" w:hAnsiTheme="minorHAnsi" w:eastAsiaTheme="minorEastAsia" w:cstheme="minorBidi"/>
          <w:b/>
          <w:kern w:val="2"/>
          <w:sz w:val="21"/>
          <w:szCs w:val="24"/>
          <w:lang w:val="en-US" w:eastAsia="zh-CN" w:bidi="ar-SA"/>
        </w:rPr>
      </w:pPr>
      <w:r>
        <w:rPr>
          <w:rFonts w:hint="eastAsia"/>
        </w:rPr>
        <w:t xml:space="preserve">   由于≥3组的异质性相对较高，未来研究可以进一步探索在该时长范围内，是否存在其他因素（如干预频率、具体内容等）导致效果的波动。</w:t>
      </w:r>
    </w:p>
    <w:p w14:paraId="3C538DA2">
      <w:pPr>
        <w:widowControl w:val="0"/>
        <w:ind w:leftChars="0" w:firstLine="400" w:firstLineChars="200"/>
        <w:jc w:val="both"/>
        <w:rPr>
          <w:rFonts w:hint="eastAsia" w:asciiTheme="minorHAnsi" w:hAnsiTheme="minorHAnsi" w:eastAsiaTheme="minorEastAsia" w:cstheme="minorBidi"/>
          <w:b/>
          <w:kern w:val="2"/>
          <w:sz w:val="21"/>
          <w:szCs w:val="24"/>
          <w:lang w:val="en-US" w:eastAsia="zh-CN" w:bidi="ar-SA"/>
        </w:rPr>
      </w:pPr>
      <w:r>
        <w:rPr>
          <w:rFonts w:hint="eastAsia"/>
        </w:rPr>
        <w:t xml:space="preserve">   本次分析的结果模式（中等异质性、亚组间无差异）与之前的高异质性分析形成对比，表明不同调节变量对结果的影响模式各不相同。在解读元分析时，需要结合异质性水平和亚组检验结果进行综合判断。</w:t>
      </w:r>
    </w:p>
    <w:p w14:paraId="57B39A1A">
      <w:r>
        <w:drawing>
          <wp:inline distT="0" distB="0" distL="114300" distR="114300">
            <wp:extent cx="5273040" cy="6686550"/>
            <wp:effectExtent l="0" t="0" r="381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73040" cy="6686550"/>
                    </a:xfrm>
                    <a:prstGeom prst="rect">
                      <a:avLst/>
                    </a:prstGeom>
                    <a:noFill/>
                    <a:ln>
                      <a:noFill/>
                    </a:ln>
                  </pic:spPr>
                </pic:pic>
              </a:graphicData>
            </a:graphic>
          </wp:inline>
        </w:drawing>
      </w:r>
    </w:p>
    <w:p w14:paraId="48C4C1B6">
      <w:r>
        <w:t>这是第七份元分析报告，探讨了又一个连续变量（可能为干预次数、每周时长、样本量等，以</w:t>
      </w:r>
      <w:r>
        <w:rPr>
          <w:b/>
        </w:rPr>
        <w:t>“8”为分界点（≤8 vs &gt;8）</w:t>
      </w:r>
      <w:r>
        <w:t>）对干预效果的调节作用。本次分析的一个显著特点是总体异质性较低且不显著。以下是详细解读：</w:t>
      </w:r>
    </w:p>
    <w:p w14:paraId="3AE37684">
      <w:pPr>
        <w:pStyle w:val="2"/>
      </w:pPr>
      <w:r>
        <w:rPr>
          <w:b/>
        </w:rPr>
        <w:t>整体研究概况</w:t>
      </w:r>
    </w:p>
    <w:p w14:paraId="5B252D2F">
      <w:pPr>
        <w:numPr>
          <w:ilvl w:val="0"/>
          <w:numId w:val="34"/>
        </w:numPr>
        <w:spacing w:before="0" w:after="0"/>
        <w:ind w:left="720" w:hanging="360"/>
      </w:pPr>
      <w:r>
        <w:rPr>
          <w:b/>
        </w:rPr>
        <w:t>Number of studies: ( k = 9 )</w:t>
      </w:r>
      <w:r>
        <w:t>： 共纳入</w:t>
      </w:r>
      <w:r>
        <w:rPr>
          <w:b/>
        </w:rPr>
        <w:t>9</w:t>
      </w:r>
      <w:r>
        <w:t>项研究。</w:t>
      </w:r>
    </w:p>
    <w:p w14:paraId="5A0D0B57">
      <w:pPr>
        <w:numPr>
          <w:ilvl w:val="0"/>
          <w:numId w:val="34"/>
        </w:numPr>
        <w:spacing w:before="0" w:after="0"/>
        <w:ind w:left="720" w:hanging="360"/>
      </w:pPr>
      <w:r>
        <w:rPr>
          <w:b/>
        </w:rPr>
        <w:t>Number of observations: ( o = 1234 )</w:t>
      </w:r>
      <w:r>
        <w:t>： 总样本量为</w:t>
      </w:r>
      <w:r>
        <w:rPr>
          <w:b/>
        </w:rPr>
        <w:t>1234</w:t>
      </w:r>
      <w:r>
        <w:t>名受试者。</w:t>
      </w:r>
    </w:p>
    <w:p w14:paraId="344E4BCD">
      <w:pPr>
        <w:numPr>
          <w:ilvl w:val="1"/>
          <w:numId w:val="34"/>
        </w:numPr>
        <w:spacing w:before="0" w:after="0"/>
        <w:ind w:left="1440" w:hanging="360"/>
      </w:pPr>
      <w:r>
        <w:t>o.e = 627： 实验组人数。</w:t>
      </w:r>
    </w:p>
    <w:p w14:paraId="5116FD83">
      <w:pPr>
        <w:numPr>
          <w:ilvl w:val="1"/>
          <w:numId w:val="34"/>
        </w:numPr>
        <w:spacing w:before="0" w:after="0"/>
        <w:ind w:left="1440" w:hanging="360"/>
      </w:pPr>
      <w:r>
        <w:t>o.c = 607： 对照组人数。</w:t>
      </w:r>
    </w:p>
    <w:p w14:paraId="24B2090A">
      <w:pPr>
        <w:pStyle w:val="2"/>
      </w:pPr>
      <w:r>
        <w:rPr>
          <w:b/>
        </w:rPr>
        <w:t>1. 总效应汇总</w:t>
      </w:r>
    </w:p>
    <w:p w14:paraId="43A21651">
      <w:pPr>
        <w:pStyle w:val="3"/>
      </w:pPr>
      <w:r>
        <w:rPr>
          <w:b/>
        </w:rPr>
        <w:t>Common effect model（固定效应模型）</w:t>
      </w:r>
    </w:p>
    <w:p w14:paraId="617E283F">
      <w:pPr>
        <w:numPr>
          <w:ilvl w:val="0"/>
          <w:numId w:val="35"/>
        </w:numPr>
        <w:spacing w:before="0" w:after="0"/>
        <w:ind w:left="720" w:hanging="360"/>
      </w:pPr>
      <w:r>
        <w:rPr>
          <w:b/>
        </w:rPr>
        <w:t>SMD = 0.2396 [0.1267; 0.3526]</w:t>
      </w:r>
      <w:r>
        <w:t>： 汇总效应量为</w:t>
      </w:r>
      <w:r>
        <w:rPr>
          <w:b/>
        </w:rPr>
        <w:t>小的正效应</w:t>
      </w:r>
      <w:r>
        <w:t>，且效应显著。</w:t>
      </w:r>
    </w:p>
    <w:p w14:paraId="1839F2E2">
      <w:pPr>
        <w:numPr>
          <w:ilvl w:val="0"/>
          <w:numId w:val="35"/>
        </w:numPr>
        <w:spacing w:before="0" w:after="0"/>
        <w:ind w:left="720" w:hanging="360"/>
      </w:pPr>
      <w:r>
        <w:rPr>
          <w:b/>
        </w:rPr>
        <w:t>z = 4.16, p &lt; 0.0001</w:t>
      </w:r>
      <w:r>
        <w:t>： 统计检验高度显著。</w:t>
      </w:r>
    </w:p>
    <w:p w14:paraId="613DC215">
      <w:pPr>
        <w:pStyle w:val="3"/>
      </w:pPr>
      <w:r>
        <w:rPr>
          <w:b/>
        </w:rPr>
        <w:t>Random effects model（随机效应模型）</w:t>
      </w:r>
    </w:p>
    <w:p w14:paraId="0D3E16DE">
      <w:pPr>
        <w:numPr>
          <w:ilvl w:val="0"/>
          <w:numId w:val="36"/>
        </w:numPr>
        <w:spacing w:before="0" w:after="0"/>
        <w:ind w:left="720" w:hanging="360"/>
      </w:pPr>
      <w:r>
        <w:rPr>
          <w:b/>
        </w:rPr>
        <w:t>SMD = 0.3161 [0.1415; 0.4908]</w:t>
      </w:r>
      <w:r>
        <w:t>： 汇总效应量仍为</w:t>
      </w:r>
      <w:r>
        <w:rPr>
          <w:b/>
        </w:rPr>
        <w:t>小的正效应</w:t>
      </w:r>
      <w:r>
        <w:t>，置信区间稍宽，效应仍高度显著。</w:t>
      </w:r>
    </w:p>
    <w:p w14:paraId="0A67D6FB">
      <w:pPr>
        <w:numPr>
          <w:ilvl w:val="0"/>
          <w:numId w:val="36"/>
        </w:numPr>
        <w:spacing w:before="0" w:after="0"/>
        <w:ind w:left="720" w:hanging="360"/>
      </w:pPr>
      <w:r>
        <w:rPr>
          <w:b/>
        </w:rPr>
        <w:t>z = 3.55, p = 0.0004</w:t>
      </w:r>
      <w:r>
        <w:t>： 统计检验显著。</w:t>
      </w:r>
    </w:p>
    <w:p w14:paraId="5E607F9C">
      <w:r>
        <w:rPr>
          <w:b/>
        </w:rPr>
        <w:t>关键点</w:t>
      </w:r>
      <w:r>
        <w:t>：两个模型的结果</w:t>
      </w:r>
      <w:r>
        <w:rPr>
          <w:b/>
        </w:rPr>
        <w:t>数值接近且置信区间重叠</w:t>
      </w:r>
      <w:r>
        <w:t>，暗示总体异质性较低。</w:t>
      </w:r>
    </w:p>
    <w:p w14:paraId="11AA15F3">
      <w:pPr>
        <w:pStyle w:val="2"/>
      </w:pPr>
      <w:r>
        <w:rPr>
          <w:b/>
        </w:rPr>
        <w:t>2. 异质性分析</w:t>
      </w:r>
    </w:p>
    <w:p w14:paraId="750F895D">
      <w:pPr>
        <w:numPr>
          <w:ilvl w:val="0"/>
          <w:numId w:val="37"/>
        </w:numPr>
        <w:spacing w:before="0" w:after="0"/>
        <w:ind w:left="720" w:hanging="360"/>
      </w:pPr>
      <w:r>
        <w:rPr>
          <w:b/>
        </w:rPr>
        <w:t>tau² = 0.0274</w:t>
      </w:r>
      <w:r>
        <w:t>: 研究间真实效应量的方差估计值</w:t>
      </w:r>
      <w:r>
        <w:rPr>
          <w:b/>
        </w:rPr>
        <w:t>非常小</w:t>
      </w:r>
      <w:r>
        <w:t>。</w:t>
      </w:r>
    </w:p>
    <w:p w14:paraId="17FBBB6A">
      <w:pPr>
        <w:numPr>
          <w:ilvl w:val="0"/>
          <w:numId w:val="37"/>
        </w:numPr>
        <w:spacing w:before="0" w:after="0"/>
        <w:ind w:left="720" w:hanging="360"/>
      </w:pPr>
      <w:r>
        <w:rPr>
          <w:b/>
        </w:rPr>
        <w:t>I² = 41.5%</w:t>
      </w:r>
      <w:r>
        <w:t>:</w:t>
      </w:r>
      <w:r>
        <w:rPr>
          <w:b/>
        </w:rPr>
        <w:t>41.5%</w:t>
      </w:r>
      <w:r>
        <w:t>的效应量变异可能由研究间差异引起，属于</w:t>
      </w:r>
      <w:r>
        <w:rPr>
          <w:b/>
        </w:rPr>
        <w:t>低到中度异质性</w:t>
      </w:r>
      <w:r>
        <w:t>，且其置信区间下限为0%。</w:t>
      </w:r>
    </w:p>
    <w:p w14:paraId="1DA1FE24">
      <w:pPr>
        <w:numPr>
          <w:ilvl w:val="0"/>
          <w:numId w:val="37"/>
        </w:numPr>
        <w:spacing w:before="0" w:after="0"/>
        <w:ind w:left="720" w:hanging="360"/>
      </w:pPr>
      <w:r>
        <w:rPr>
          <w:b/>
        </w:rPr>
        <w:t>Q检验 (Q=13.66, p=0.0910)</w:t>
      </w:r>
      <w:r>
        <w:t>：</w:t>
      </w:r>
      <w:r>
        <w:rPr>
          <w:b/>
        </w:rPr>
        <w:t>p &gt; 0.05</w:t>
      </w:r>
      <w:r>
        <w:t>。这个结果</w:t>
      </w:r>
      <w:r>
        <w:rPr>
          <w:b/>
        </w:rPr>
        <w:t>不显著</w:t>
      </w:r>
      <w:r>
        <w:t>，意味着</w:t>
      </w:r>
      <w:r>
        <w:rPr>
          <w:b/>
        </w:rPr>
        <w:t>没有足够的证据拒绝“研究间无异质性”的原假设</w:t>
      </w:r>
      <w:r>
        <w:t>。这是与之前所有分析最根本的区别。</w:t>
      </w:r>
    </w:p>
    <w:p w14:paraId="3630B427">
      <w:r>
        <w:rPr>
          <w:b/>
        </w:rPr>
        <w:t>结论</w:t>
      </w:r>
      <w:r>
        <w:t>：由于异质性检验</w:t>
      </w:r>
      <w:r>
        <w:rPr>
          <w:b/>
        </w:rPr>
        <w:t>不显著</w:t>
      </w:r>
      <w:r>
        <w:t>，虽然随机效应模型给出了略微保守的估计，但</w:t>
      </w:r>
      <w:r>
        <w:rPr>
          <w:b/>
        </w:rPr>
        <w:t>固定效应模型的结果也具有参考价值</w:t>
      </w:r>
      <w:r>
        <w:t>，且两者差异不大。这组研究相对同质。</w:t>
      </w:r>
    </w:p>
    <w:p w14:paraId="2F3EE118">
      <w:pPr>
        <w:pStyle w:val="2"/>
      </w:pPr>
      <w:r>
        <w:rPr>
          <w:b/>
        </w:rPr>
        <w:t>3. 亚组分析：按“某变量”分层 (≤8 vs &gt;8)</w:t>
      </w:r>
    </w:p>
    <w:p w14:paraId="13EA24A8">
      <w:r>
        <w:t>分析旨在回答：干预效果是否因该变量的不同水平（低水平≤8 vs 高水平&gt;8）而存在差异？</w:t>
      </w:r>
    </w:p>
    <w:p w14:paraId="6C981010">
      <w:pPr>
        <w:pStyle w:val="3"/>
      </w:pPr>
      <w:r>
        <w:rPr>
          <w:b/>
        </w:rPr>
        <w:t>3.1 固定效应模型下的亚组结果</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384"/>
        <w:gridCol w:w="1384"/>
        <w:gridCol w:w="1384"/>
        <w:gridCol w:w="1384"/>
        <w:gridCol w:w="1384"/>
        <w:gridCol w:w="1384"/>
      </w:tblGrid>
      <w:tr w14:paraId="748B6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4430DD47">
            <w:pPr>
              <w:jc w:val="center"/>
              <w:rPr>
                <w:b/>
              </w:rPr>
            </w:pPr>
            <w:r>
              <w:rPr>
                <w:b/>
              </w:rPr>
              <w:t>亚组</w:t>
            </w:r>
          </w:p>
        </w:tc>
        <w:tc>
          <w:tcPr>
            <w:tcW w:w="0" w:type="auto"/>
            <w:tcMar>
              <w:left w:w="108" w:type="dxa"/>
              <w:right w:w="108" w:type="dxa"/>
            </w:tcMar>
            <w:vAlign w:val="center"/>
          </w:tcPr>
          <w:p w14:paraId="176AE7B8">
            <w:pPr>
              <w:jc w:val="center"/>
              <w:rPr>
                <w:b/>
              </w:rPr>
            </w:pPr>
            <w:r>
              <w:rPr>
                <w:b/>
              </w:rPr>
              <w:t>k</w:t>
            </w:r>
          </w:p>
        </w:tc>
        <w:tc>
          <w:tcPr>
            <w:tcW w:w="0" w:type="auto"/>
            <w:tcMar>
              <w:left w:w="108" w:type="dxa"/>
              <w:right w:w="108" w:type="dxa"/>
            </w:tcMar>
            <w:vAlign w:val="center"/>
          </w:tcPr>
          <w:p w14:paraId="7C80D119">
            <w:pPr>
              <w:jc w:val="center"/>
              <w:rPr>
                <w:b/>
              </w:rPr>
            </w:pPr>
            <w:r>
              <w:rPr>
                <w:b/>
              </w:rPr>
              <w:t>SMD</w:t>
            </w:r>
          </w:p>
        </w:tc>
        <w:tc>
          <w:tcPr>
            <w:tcW w:w="0" w:type="auto"/>
            <w:tcMar>
              <w:left w:w="108" w:type="dxa"/>
              <w:right w:w="108" w:type="dxa"/>
            </w:tcMar>
            <w:vAlign w:val="center"/>
          </w:tcPr>
          <w:p w14:paraId="72BC0909">
            <w:pPr>
              <w:jc w:val="center"/>
              <w:rPr>
                <w:b/>
              </w:rPr>
            </w:pPr>
            <w:r>
              <w:rPr>
                <w:b/>
              </w:rPr>
              <w:t>95%-CI</w:t>
            </w:r>
          </w:p>
        </w:tc>
        <w:tc>
          <w:tcPr>
            <w:tcW w:w="0" w:type="auto"/>
            <w:tcMar>
              <w:left w:w="108" w:type="dxa"/>
              <w:right w:w="108" w:type="dxa"/>
            </w:tcMar>
            <w:vAlign w:val="center"/>
          </w:tcPr>
          <w:p w14:paraId="508FFC9D">
            <w:pPr>
              <w:jc w:val="center"/>
              <w:rPr>
                <w:b/>
              </w:rPr>
            </w:pPr>
            <w:r>
              <w:rPr>
                <w:b/>
              </w:rPr>
              <w:t>Q</w:t>
            </w:r>
          </w:p>
        </w:tc>
        <w:tc>
          <w:tcPr>
            <w:tcW w:w="0" w:type="auto"/>
            <w:tcMar>
              <w:left w:w="108" w:type="dxa"/>
              <w:right w:w="108" w:type="dxa"/>
            </w:tcMar>
            <w:vAlign w:val="center"/>
          </w:tcPr>
          <w:p w14:paraId="0FD80D6A">
            <w:pPr>
              <w:jc w:val="center"/>
              <w:rPr>
                <w:b/>
              </w:rPr>
            </w:pPr>
            <w:r>
              <w:rPr>
                <w:b/>
              </w:rPr>
              <w:t>I²</w:t>
            </w:r>
          </w:p>
        </w:tc>
      </w:tr>
      <w:tr w14:paraId="02034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F6FD7F2">
            <w:r>
              <w:rPr>
                <w:b/>
              </w:rPr>
              <w:t>Subgroup = ≤8</w:t>
            </w:r>
          </w:p>
        </w:tc>
        <w:tc>
          <w:tcPr>
            <w:tcW w:w="0" w:type="auto"/>
            <w:tcMar>
              <w:left w:w="108" w:type="dxa"/>
              <w:right w:w="108" w:type="dxa"/>
            </w:tcMar>
            <w:vAlign w:val="center"/>
          </w:tcPr>
          <w:p w14:paraId="24FB75BD">
            <w:r>
              <w:t>6</w:t>
            </w:r>
          </w:p>
        </w:tc>
        <w:tc>
          <w:tcPr>
            <w:tcW w:w="0" w:type="auto"/>
            <w:tcMar>
              <w:left w:w="108" w:type="dxa"/>
              <w:right w:w="108" w:type="dxa"/>
            </w:tcMar>
            <w:vAlign w:val="center"/>
          </w:tcPr>
          <w:p w14:paraId="15E91620">
            <w:r>
              <w:t>0.2006</w:t>
            </w:r>
          </w:p>
        </w:tc>
        <w:tc>
          <w:tcPr>
            <w:tcW w:w="0" w:type="auto"/>
            <w:tcMar>
              <w:left w:w="108" w:type="dxa"/>
              <w:right w:w="108" w:type="dxa"/>
            </w:tcMar>
            <w:vAlign w:val="center"/>
          </w:tcPr>
          <w:p w14:paraId="2A4A3C55">
            <w:r>
              <w:t>[0.0782; 0.3230]</w:t>
            </w:r>
          </w:p>
        </w:tc>
        <w:tc>
          <w:tcPr>
            <w:tcW w:w="0" w:type="auto"/>
            <w:tcMar>
              <w:left w:w="108" w:type="dxa"/>
              <w:right w:w="108" w:type="dxa"/>
            </w:tcMar>
            <w:vAlign w:val="center"/>
          </w:tcPr>
          <w:p w14:paraId="76677C1C">
            <w:r>
              <w:t>10.26</w:t>
            </w:r>
          </w:p>
        </w:tc>
        <w:tc>
          <w:tcPr>
            <w:tcW w:w="0" w:type="auto"/>
            <w:tcMar>
              <w:left w:w="108" w:type="dxa"/>
              <w:right w:w="108" w:type="dxa"/>
            </w:tcMar>
            <w:vAlign w:val="center"/>
          </w:tcPr>
          <w:p w14:paraId="1086EE43">
            <w:r>
              <w:t>51.3%</w:t>
            </w:r>
          </w:p>
        </w:tc>
      </w:tr>
      <w:tr w14:paraId="56F82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4A467FB">
            <w:r>
              <w:rPr>
                <w:b/>
              </w:rPr>
              <w:t>Subgroup = &gt;8</w:t>
            </w:r>
          </w:p>
        </w:tc>
        <w:tc>
          <w:tcPr>
            <w:tcW w:w="0" w:type="auto"/>
            <w:tcMar>
              <w:left w:w="108" w:type="dxa"/>
              <w:right w:w="108" w:type="dxa"/>
            </w:tcMar>
            <w:vAlign w:val="center"/>
          </w:tcPr>
          <w:p w14:paraId="62FC9BBB">
            <w:r>
              <w:t>3</w:t>
            </w:r>
          </w:p>
        </w:tc>
        <w:tc>
          <w:tcPr>
            <w:tcW w:w="0" w:type="auto"/>
            <w:tcMar>
              <w:left w:w="108" w:type="dxa"/>
              <w:right w:w="108" w:type="dxa"/>
            </w:tcMar>
            <w:vAlign w:val="center"/>
          </w:tcPr>
          <w:p w14:paraId="3C0D9ED2">
            <w:r>
              <w:t>0.4637</w:t>
            </w:r>
          </w:p>
        </w:tc>
        <w:tc>
          <w:tcPr>
            <w:tcW w:w="0" w:type="auto"/>
            <w:tcMar>
              <w:left w:w="108" w:type="dxa"/>
              <w:right w:w="108" w:type="dxa"/>
            </w:tcMar>
            <w:vAlign w:val="center"/>
          </w:tcPr>
          <w:p w14:paraId="75B249A1">
            <w:r>
              <w:t>[0.1706; 0.7569]</w:t>
            </w:r>
          </w:p>
        </w:tc>
        <w:tc>
          <w:tcPr>
            <w:tcW w:w="0" w:type="auto"/>
            <w:tcMar>
              <w:left w:w="108" w:type="dxa"/>
              <w:right w:w="108" w:type="dxa"/>
            </w:tcMar>
            <w:vAlign w:val="center"/>
          </w:tcPr>
          <w:p w14:paraId="4ECE8D1C">
            <w:r>
              <w:t>0.77</w:t>
            </w:r>
          </w:p>
        </w:tc>
        <w:tc>
          <w:tcPr>
            <w:tcW w:w="0" w:type="auto"/>
            <w:tcMar>
              <w:left w:w="108" w:type="dxa"/>
              <w:right w:w="108" w:type="dxa"/>
            </w:tcMar>
            <w:vAlign w:val="center"/>
          </w:tcPr>
          <w:p w14:paraId="0AE6E04E">
            <w:r>
              <w:t>0.0%</w:t>
            </w:r>
          </w:p>
        </w:tc>
      </w:tr>
    </w:tbl>
    <w:p w14:paraId="0C95487D">
      <w:pPr>
        <w:numPr>
          <w:ilvl w:val="0"/>
          <w:numId w:val="38"/>
        </w:numPr>
        <w:spacing w:before="0" w:after="0"/>
        <w:ind w:left="720" w:hanging="360"/>
      </w:pPr>
      <w:r>
        <w:rPr>
          <w:b/>
        </w:rPr>
        <w:t>解读</w:t>
      </w:r>
      <w:r>
        <w:t>：</w:t>
      </w:r>
    </w:p>
    <w:p w14:paraId="00D57057">
      <w:pPr>
        <w:numPr>
          <w:ilvl w:val="1"/>
          <w:numId w:val="38"/>
        </w:numPr>
        <w:spacing w:before="0" w:after="0"/>
        <w:ind w:left="1440" w:hanging="360"/>
      </w:pPr>
      <w:r>
        <w:rPr>
          <w:b/>
        </w:rPr>
        <w:t>≤8 组</w:t>
      </w:r>
      <w:r>
        <w:t>：6项研究，汇总效应为</w:t>
      </w:r>
      <w:r>
        <w:rPr>
          <w:b/>
        </w:rPr>
        <w:t>小的正效应</w:t>
      </w:r>
      <w:r>
        <w:t>（SMD≈0.20），且效应显著。组内存在</w:t>
      </w:r>
      <w:r>
        <w:rPr>
          <w:b/>
        </w:rPr>
        <w:t>中度异质性</w:t>
      </w:r>
      <w:r>
        <w:t>（I²=51.3%）。</w:t>
      </w:r>
    </w:p>
    <w:p w14:paraId="38052ADD">
      <w:pPr>
        <w:numPr>
          <w:ilvl w:val="1"/>
          <w:numId w:val="38"/>
        </w:numPr>
        <w:spacing w:before="0" w:after="0"/>
        <w:ind w:left="1440" w:hanging="360"/>
      </w:pPr>
      <w:r>
        <w:rPr>
          <w:b/>
        </w:rPr>
        <w:t>&gt;8 组</w:t>
      </w:r>
      <w:r>
        <w:t>：3项研究，汇总效应为</w:t>
      </w:r>
      <w:r>
        <w:rPr>
          <w:b/>
        </w:rPr>
        <w:t>中等正效应</w:t>
      </w:r>
      <w:r>
        <w:t>（SMD≈0.46），且效应显著。组内</w:t>
      </w:r>
      <w:r>
        <w:rPr>
          <w:b/>
        </w:rPr>
        <w:t>无异质性</w:t>
      </w:r>
      <w:r>
        <w:t>（I²=0%），结果完全一致。</w:t>
      </w:r>
    </w:p>
    <w:p w14:paraId="4288488E">
      <w:pPr>
        <w:pStyle w:val="3"/>
      </w:pPr>
      <w:r>
        <w:rPr>
          <w:b/>
        </w:rPr>
        <w:t>3.2 固定效应模型下的亚组差异检验</w:t>
      </w:r>
    </w:p>
    <w:p w14:paraId="10296733">
      <w:r>
        <w:t>Between groups Q=2.64, p=0.1045</w:t>
      </w:r>
    </w:p>
    <w:p w14:paraId="52966958">
      <w:r>
        <w:t>within groups Q=11.03, p=0.1374</w:t>
      </w:r>
    </w:p>
    <w:p w14:paraId="77B08605">
      <w:pPr>
        <w:numPr>
          <w:ilvl w:val="0"/>
          <w:numId w:val="39"/>
        </w:numPr>
        <w:spacing w:before="0" w:after="0"/>
        <w:ind w:left="720" w:hanging="360"/>
      </w:pPr>
      <w:r>
        <w:rPr>
          <w:b/>
        </w:rPr>
        <w:t>解读</w:t>
      </w:r>
      <w:r>
        <w:t>：</w:t>
      </w:r>
    </w:p>
    <w:p w14:paraId="37E04C63">
      <w:pPr>
        <w:numPr>
          <w:ilvl w:val="1"/>
          <w:numId w:val="39"/>
        </w:numPr>
        <w:spacing w:before="0" w:after="0"/>
        <w:ind w:left="1440" w:hanging="360"/>
      </w:pPr>
      <w:r>
        <w:rPr>
          <w:b/>
        </w:rPr>
        <w:t>亚组间差异检验 (Between groups)</w:t>
      </w:r>
      <w:r>
        <w:t>:</w:t>
      </w:r>
      <w:r>
        <w:rPr>
          <w:b/>
        </w:rPr>
        <w:t>p=0.1045 &gt; 0.05</w:t>
      </w:r>
      <w:r>
        <w:t>。在固定效应模型下，</w:t>
      </w:r>
      <w:r>
        <w:rPr>
          <w:b/>
        </w:rPr>
        <w:t>两个亚组间的效应量差异没有达到统计学显著性</w:t>
      </w:r>
      <w:r>
        <w:t>。</w:t>
      </w:r>
    </w:p>
    <w:p w14:paraId="4A07997D">
      <w:pPr>
        <w:numPr>
          <w:ilvl w:val="1"/>
          <w:numId w:val="39"/>
        </w:numPr>
        <w:spacing w:before="0" w:after="0"/>
        <w:ind w:left="1440" w:hanging="360"/>
      </w:pPr>
      <w:r>
        <w:rPr>
          <w:b/>
        </w:rPr>
        <w:t>组内异质性 (Within groups)</w:t>
      </w:r>
      <w:r>
        <w:t>:</w:t>
      </w:r>
      <w:r>
        <w:rPr>
          <w:b/>
        </w:rPr>
        <w:t>p=0.1374 &gt; 0.05</w:t>
      </w:r>
      <w:r>
        <w:t>，这个结果</w:t>
      </w:r>
      <w:r>
        <w:rPr>
          <w:b/>
        </w:rPr>
        <w:t>不显著</w:t>
      </w:r>
      <w:r>
        <w:t>，意味着在考虑了亚组分组后，</w:t>
      </w:r>
      <w:r>
        <w:rPr>
          <w:b/>
        </w:rPr>
        <w:t>亚组内部的剩余异质性也不显著</w:t>
      </w:r>
      <w:r>
        <w:t>。这与总异质性检验不显著的结论一致。</w:t>
      </w:r>
    </w:p>
    <w:p w14:paraId="335EE945">
      <w:pPr>
        <w:pStyle w:val="3"/>
      </w:pPr>
      <w:r>
        <w:rPr>
          <w:b/>
        </w:rPr>
        <w:t>3.3 随机效应模型下的亚组结果</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384"/>
        <w:gridCol w:w="1384"/>
        <w:gridCol w:w="1384"/>
        <w:gridCol w:w="1384"/>
        <w:gridCol w:w="1384"/>
        <w:gridCol w:w="1384"/>
      </w:tblGrid>
      <w:tr w14:paraId="05BE4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87528FD">
            <w:pPr>
              <w:jc w:val="center"/>
              <w:rPr>
                <w:b/>
              </w:rPr>
            </w:pPr>
            <w:r>
              <w:rPr>
                <w:b/>
              </w:rPr>
              <w:t>亚组</w:t>
            </w:r>
          </w:p>
        </w:tc>
        <w:tc>
          <w:tcPr>
            <w:tcW w:w="0" w:type="auto"/>
            <w:tcMar>
              <w:left w:w="108" w:type="dxa"/>
              <w:right w:w="108" w:type="dxa"/>
            </w:tcMar>
            <w:vAlign w:val="center"/>
          </w:tcPr>
          <w:p w14:paraId="5A11BA08">
            <w:pPr>
              <w:jc w:val="center"/>
              <w:rPr>
                <w:b/>
              </w:rPr>
            </w:pPr>
            <w:r>
              <w:rPr>
                <w:b/>
              </w:rPr>
              <w:t>k</w:t>
            </w:r>
          </w:p>
        </w:tc>
        <w:tc>
          <w:tcPr>
            <w:tcW w:w="0" w:type="auto"/>
            <w:tcMar>
              <w:left w:w="108" w:type="dxa"/>
              <w:right w:w="108" w:type="dxa"/>
            </w:tcMar>
            <w:vAlign w:val="center"/>
          </w:tcPr>
          <w:p w14:paraId="728EA602">
            <w:pPr>
              <w:jc w:val="center"/>
              <w:rPr>
                <w:b/>
              </w:rPr>
            </w:pPr>
            <w:r>
              <w:rPr>
                <w:b/>
              </w:rPr>
              <w:t>SMD</w:t>
            </w:r>
          </w:p>
        </w:tc>
        <w:tc>
          <w:tcPr>
            <w:tcW w:w="0" w:type="auto"/>
            <w:tcMar>
              <w:left w:w="108" w:type="dxa"/>
              <w:right w:w="108" w:type="dxa"/>
            </w:tcMar>
            <w:vAlign w:val="center"/>
          </w:tcPr>
          <w:p w14:paraId="7BB266FD">
            <w:pPr>
              <w:jc w:val="center"/>
              <w:rPr>
                <w:b/>
              </w:rPr>
            </w:pPr>
            <w:r>
              <w:rPr>
                <w:b/>
              </w:rPr>
              <w:t>95%-CI</w:t>
            </w:r>
          </w:p>
        </w:tc>
        <w:tc>
          <w:tcPr>
            <w:tcW w:w="0" w:type="auto"/>
            <w:tcMar>
              <w:left w:w="108" w:type="dxa"/>
              <w:right w:w="108" w:type="dxa"/>
            </w:tcMar>
            <w:vAlign w:val="center"/>
          </w:tcPr>
          <w:p w14:paraId="23DE61BE">
            <w:pPr>
              <w:jc w:val="center"/>
              <w:rPr>
                <w:b/>
              </w:rPr>
            </w:pPr>
            <w:r>
              <w:rPr>
                <w:b/>
              </w:rPr>
              <w:t>τ²</w:t>
            </w:r>
          </w:p>
        </w:tc>
        <w:tc>
          <w:tcPr>
            <w:tcW w:w="0" w:type="auto"/>
            <w:tcMar>
              <w:left w:w="108" w:type="dxa"/>
              <w:right w:w="108" w:type="dxa"/>
            </w:tcMar>
            <w:vAlign w:val="center"/>
          </w:tcPr>
          <w:p w14:paraId="2216C54A">
            <w:pPr>
              <w:jc w:val="center"/>
              <w:rPr>
                <w:b/>
              </w:rPr>
            </w:pPr>
            <w:r>
              <w:rPr>
                <w:b/>
              </w:rPr>
              <w:t>τ</w:t>
            </w:r>
          </w:p>
        </w:tc>
      </w:tr>
      <w:tr w14:paraId="04F1C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3843E0D">
            <w:r>
              <w:rPr>
                <w:b/>
              </w:rPr>
              <w:t>Subgroup = ≤8</w:t>
            </w:r>
          </w:p>
        </w:tc>
        <w:tc>
          <w:tcPr>
            <w:tcW w:w="0" w:type="auto"/>
            <w:tcMar>
              <w:left w:w="108" w:type="dxa"/>
              <w:right w:w="108" w:type="dxa"/>
            </w:tcMar>
            <w:vAlign w:val="center"/>
          </w:tcPr>
          <w:p w14:paraId="5CF5345D">
            <w:r>
              <w:t>6</w:t>
            </w:r>
          </w:p>
        </w:tc>
        <w:tc>
          <w:tcPr>
            <w:tcW w:w="0" w:type="auto"/>
            <w:tcMar>
              <w:left w:w="108" w:type="dxa"/>
              <w:right w:w="108" w:type="dxa"/>
            </w:tcMar>
            <w:vAlign w:val="center"/>
          </w:tcPr>
          <w:p w14:paraId="1D7F3C3C">
            <w:r>
              <w:t>0.2695</w:t>
            </w:r>
          </w:p>
        </w:tc>
        <w:tc>
          <w:tcPr>
            <w:tcW w:w="0" w:type="auto"/>
            <w:tcMar>
              <w:left w:w="108" w:type="dxa"/>
              <w:right w:w="108" w:type="dxa"/>
            </w:tcMar>
            <w:vAlign w:val="center"/>
          </w:tcPr>
          <w:p w14:paraId="592A85E1">
            <w:r>
              <w:t>[0.0619; 0.4772]</w:t>
            </w:r>
          </w:p>
        </w:tc>
        <w:tc>
          <w:tcPr>
            <w:tcW w:w="0" w:type="auto"/>
            <w:tcMar>
              <w:left w:w="108" w:type="dxa"/>
              <w:right w:w="108" w:type="dxa"/>
            </w:tcMar>
            <w:vAlign w:val="center"/>
          </w:tcPr>
          <w:p w14:paraId="6220A8D7">
            <w:r>
              <w:t>0.0304</w:t>
            </w:r>
          </w:p>
        </w:tc>
        <w:tc>
          <w:tcPr>
            <w:tcW w:w="0" w:type="auto"/>
            <w:tcMar>
              <w:left w:w="108" w:type="dxa"/>
              <w:right w:w="108" w:type="dxa"/>
            </w:tcMar>
            <w:vAlign w:val="center"/>
          </w:tcPr>
          <w:p w14:paraId="448BDAC1">
            <w:r>
              <w:t>0.1743</w:t>
            </w:r>
          </w:p>
        </w:tc>
      </w:tr>
      <w:tr w14:paraId="76AEC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4785498">
            <w:r>
              <w:rPr>
                <w:b/>
              </w:rPr>
              <w:t>Subgroup = &gt;8</w:t>
            </w:r>
          </w:p>
        </w:tc>
        <w:tc>
          <w:tcPr>
            <w:tcW w:w="0" w:type="auto"/>
            <w:tcMar>
              <w:left w:w="108" w:type="dxa"/>
              <w:right w:w="108" w:type="dxa"/>
            </w:tcMar>
            <w:vAlign w:val="center"/>
          </w:tcPr>
          <w:p w14:paraId="79C11FEA">
            <w:r>
              <w:t>3</w:t>
            </w:r>
          </w:p>
        </w:tc>
        <w:tc>
          <w:tcPr>
            <w:tcW w:w="0" w:type="auto"/>
            <w:tcMar>
              <w:left w:w="108" w:type="dxa"/>
              <w:right w:w="108" w:type="dxa"/>
            </w:tcMar>
            <w:vAlign w:val="center"/>
          </w:tcPr>
          <w:p w14:paraId="3B099C1B">
            <w:r>
              <w:t>0.4637</w:t>
            </w:r>
          </w:p>
        </w:tc>
        <w:tc>
          <w:tcPr>
            <w:tcW w:w="0" w:type="auto"/>
            <w:tcMar>
              <w:left w:w="108" w:type="dxa"/>
              <w:right w:w="108" w:type="dxa"/>
            </w:tcMar>
            <w:vAlign w:val="center"/>
          </w:tcPr>
          <w:p w14:paraId="6FB09860">
            <w:r>
              <w:t>[0.1706; 0.7569]</w:t>
            </w:r>
          </w:p>
        </w:tc>
        <w:tc>
          <w:tcPr>
            <w:tcW w:w="0" w:type="auto"/>
            <w:tcMar>
              <w:left w:w="108" w:type="dxa"/>
              <w:right w:w="108" w:type="dxa"/>
            </w:tcMar>
            <w:vAlign w:val="center"/>
          </w:tcPr>
          <w:p w14:paraId="10A5FF7F">
            <w:r>
              <w:t>0</w:t>
            </w:r>
          </w:p>
        </w:tc>
        <w:tc>
          <w:tcPr>
            <w:tcW w:w="0" w:type="auto"/>
            <w:tcMar>
              <w:left w:w="108" w:type="dxa"/>
              <w:right w:w="108" w:type="dxa"/>
            </w:tcMar>
            <w:vAlign w:val="center"/>
          </w:tcPr>
          <w:p w14:paraId="219B027E">
            <w:r>
              <w:t>0</w:t>
            </w:r>
          </w:p>
        </w:tc>
      </w:tr>
    </w:tbl>
    <w:p w14:paraId="7AED6B42">
      <w:pPr>
        <w:numPr>
          <w:ilvl w:val="0"/>
          <w:numId w:val="40"/>
        </w:numPr>
        <w:spacing w:before="0" w:after="0"/>
        <w:ind w:left="720" w:hanging="360"/>
      </w:pPr>
      <w:r>
        <w:rPr>
          <w:b/>
        </w:rPr>
        <w:t>解读</w:t>
      </w:r>
      <w:r>
        <w:t>：</w:t>
      </w:r>
    </w:p>
    <w:p w14:paraId="7CF1D3B3">
      <w:pPr>
        <w:numPr>
          <w:ilvl w:val="1"/>
          <w:numId w:val="40"/>
        </w:numPr>
        <w:spacing w:before="0" w:after="0"/>
        <w:ind w:left="1440" w:hanging="360"/>
      </w:pPr>
      <w:r>
        <w:rPr>
          <w:b/>
        </w:rPr>
        <w:t>≤8 组</w:t>
      </w:r>
      <w:r>
        <w:t>：效应量点估计值略有增大（0.27），仍为</w:t>
      </w:r>
      <w:r>
        <w:rPr>
          <w:b/>
        </w:rPr>
        <w:t>小的正效应且显著</w:t>
      </w:r>
      <w:r>
        <w:t>，置信区间变宽。τ²很小。</w:t>
      </w:r>
    </w:p>
    <w:p w14:paraId="4D5D2155">
      <w:pPr>
        <w:numPr>
          <w:ilvl w:val="1"/>
          <w:numId w:val="40"/>
        </w:numPr>
        <w:spacing w:before="0" w:after="0"/>
        <w:ind w:left="1440" w:hanging="360"/>
      </w:pPr>
      <w:r>
        <w:rPr>
          <w:b/>
        </w:rPr>
        <w:t>&gt;8 组</w:t>
      </w:r>
      <w:r>
        <w:t>：结果与固定效应模型完全一致（τ²=0），效应为</w:t>
      </w:r>
      <w:r>
        <w:rPr>
          <w:b/>
        </w:rPr>
        <w:t>中等且显著</w:t>
      </w:r>
      <w:r>
        <w:t>，研究同质。</w:t>
      </w:r>
    </w:p>
    <w:p w14:paraId="6AB0D68E">
      <w:pPr>
        <w:pStyle w:val="3"/>
      </w:pPr>
      <w:r>
        <w:rPr>
          <w:b/>
        </w:rPr>
        <w:t>3.4 随机效应模型下的亚组差异检验</w:t>
      </w:r>
    </w:p>
    <w:p w14:paraId="41697A27">
      <w:r>
        <w:t>Between groups Q=1.12, p=0.2893</w:t>
      </w:r>
    </w:p>
    <w:p w14:paraId="62A109ED">
      <w:pPr>
        <w:numPr>
          <w:ilvl w:val="0"/>
          <w:numId w:val="41"/>
        </w:numPr>
        <w:spacing w:before="0" w:after="0"/>
        <w:ind w:left="720" w:hanging="360"/>
      </w:pPr>
      <w:r>
        <w:rPr>
          <w:b/>
        </w:rPr>
        <w:t>解读</w:t>
      </w:r>
      <w:r>
        <w:t>：</w:t>
      </w:r>
    </w:p>
    <w:p w14:paraId="45B6E385">
      <w:pPr>
        <w:numPr>
          <w:ilvl w:val="1"/>
          <w:numId w:val="41"/>
        </w:numPr>
        <w:spacing w:before="0" w:after="0"/>
        <w:ind w:left="1440" w:hanging="360"/>
      </w:pPr>
      <w:r>
        <w:rPr>
          <w:b/>
        </w:rPr>
        <w:t>亚组间差异检验 (Between groups)</w:t>
      </w:r>
      <w:r>
        <w:t>:</w:t>
      </w:r>
      <w:r>
        <w:rPr>
          <w:b/>
        </w:rPr>
        <w:t>p=0.2893 &gt; 0.05</w:t>
      </w:r>
      <w:r>
        <w:t>。在随机效应模型下，</w:t>
      </w:r>
      <w:r>
        <w:rPr>
          <w:b/>
        </w:rPr>
        <w:t>两个亚组间的效应量差异仍然没有统计学显著性</w:t>
      </w:r>
      <w:r>
        <w:t>。</w:t>
      </w:r>
    </w:p>
    <w:p w14:paraId="44301235">
      <w:pPr>
        <w:pStyle w:val="2"/>
      </w:pPr>
      <w:r>
        <w:rPr>
          <w:b/>
        </w:rPr>
        <w:t>总结与综合解读</w:t>
      </w:r>
    </w:p>
    <w:p w14:paraId="0557B5EA">
      <w:pPr>
        <w:numPr>
          <w:ilvl w:val="0"/>
          <w:numId w:val="42"/>
        </w:numPr>
        <w:spacing w:before="0" w:after="0"/>
        <w:ind w:left="720" w:hanging="360"/>
      </w:pPr>
      <w:r>
        <w:rPr>
          <w:b/>
        </w:rPr>
        <w:t>总体结论</w:t>
      </w:r>
      <w:r>
        <w:t>：在这9项相对同质的研究中，该干预措施显示出</w:t>
      </w:r>
      <w:r>
        <w:rPr>
          <w:b/>
        </w:rPr>
        <w:t>一致且显著的小的正效应</w:t>
      </w:r>
      <w:r>
        <w:t>。总体</w:t>
      </w:r>
      <w:r>
        <w:rPr>
          <w:b/>
        </w:rPr>
        <w:t>异质性不显著</w:t>
      </w:r>
      <w:r>
        <w:t>，表明这些研究的结果波动可能主要源于抽样误差而非真实的本质差异。</w:t>
      </w:r>
    </w:p>
    <w:p w14:paraId="67C4F8AD">
      <w:pPr>
        <w:numPr>
          <w:ilvl w:val="0"/>
          <w:numId w:val="42"/>
        </w:numPr>
        <w:spacing w:before="0" w:after="0"/>
        <w:ind w:left="720" w:hanging="360"/>
      </w:pPr>
      <w:r>
        <w:rPr>
          <w:b/>
        </w:rPr>
        <w:t>亚组分析的发现</w:t>
      </w:r>
      <w:r>
        <w:t>：</w:t>
      </w:r>
    </w:p>
    <w:p w14:paraId="019D5500">
      <w:pPr>
        <w:numPr>
          <w:ilvl w:val="1"/>
          <w:numId w:val="42"/>
        </w:numPr>
        <w:spacing w:before="0" w:after="0"/>
        <w:ind w:left="1440" w:hanging="360"/>
      </w:pPr>
      <w:r>
        <w:rPr>
          <w:b/>
        </w:rPr>
        <w:t>对于变量≤8的研究</w:t>
      </w:r>
      <w:r>
        <w:t>：干预效果为</w:t>
      </w:r>
      <w:r>
        <w:rPr>
          <w:b/>
        </w:rPr>
        <w:t>稳定的、小的正效应</w:t>
      </w:r>
      <w:r>
        <w:t>。</w:t>
      </w:r>
    </w:p>
    <w:p w14:paraId="7C396A19">
      <w:pPr>
        <w:numPr>
          <w:ilvl w:val="1"/>
          <w:numId w:val="42"/>
        </w:numPr>
        <w:spacing w:before="0" w:after="0"/>
        <w:ind w:left="1440" w:hanging="360"/>
      </w:pPr>
      <w:r>
        <w:rPr>
          <w:b/>
        </w:rPr>
        <w:t>对于变量&gt;8的研究</w:t>
      </w:r>
      <w:r>
        <w:t>：干预效果为</w:t>
      </w:r>
      <w:r>
        <w:rPr>
          <w:b/>
        </w:rPr>
        <w:t>稳定的、中等正效应</w:t>
      </w:r>
      <w:r>
        <w:t>，且三项研究结果完全一致。</w:t>
      </w:r>
    </w:p>
    <w:p w14:paraId="1EEE9552">
      <w:pPr>
        <w:numPr>
          <w:ilvl w:val="1"/>
          <w:numId w:val="42"/>
        </w:numPr>
        <w:spacing w:before="0" w:after="0"/>
        <w:ind w:left="1440" w:hanging="360"/>
      </w:pPr>
      <w:r>
        <w:rPr>
          <w:b/>
        </w:rPr>
        <w:t>一个有趣的趋势</w:t>
      </w:r>
      <w:r>
        <w:t>：&gt;8组的效应量点估计值（0.46）是≤8组（0.20-0.27）的约1.7-2.3倍，呈现明确的数值差异。</w:t>
      </w:r>
    </w:p>
    <w:p w14:paraId="0F707320">
      <w:pPr>
        <w:numPr>
          <w:ilvl w:val="1"/>
          <w:numId w:val="42"/>
        </w:numPr>
        <w:spacing w:before="0" w:after="0"/>
        <w:ind w:left="1440" w:hanging="360"/>
      </w:pPr>
      <w:r>
        <w:rPr>
          <w:b/>
        </w:rPr>
        <w:t>调节效应检验</w:t>
      </w:r>
      <w:r>
        <w:t>：尽管存在上述数值趋势，但无论在固定效应（p=0.104）还是随机效应模型（p=0.289）下，</w:t>
      </w:r>
      <w:r>
        <w:rPr>
          <w:b/>
        </w:rPr>
        <w:t>该变量（以8为界）的调节作用均未达到统计学显著性</w:t>
      </w:r>
      <w:r>
        <w:t>。这可能是因为研究数量较少（尤其是&gt;8组仅3项），统计检验的</w:t>
      </w:r>
      <w:r>
        <w:rPr>
          <w:b/>
        </w:rPr>
        <w:t>效力不足</w:t>
      </w:r>
      <w:r>
        <w:t>，无法检测到这种程度的差异。</w:t>
      </w:r>
    </w:p>
    <w:p w14:paraId="4ED55E05">
      <w:pPr>
        <w:numPr>
          <w:ilvl w:val="0"/>
          <w:numId w:val="42"/>
        </w:numPr>
        <w:spacing w:before="0" w:after="0"/>
        <w:ind w:left="720" w:hanging="360"/>
      </w:pPr>
      <w:r>
        <w:rPr>
          <w:b/>
        </w:rPr>
        <w:t>对研究与实践的启示</w:t>
      </w:r>
      <w:r>
        <w:t>：</w:t>
      </w:r>
    </w:p>
    <w:p w14:paraId="283896F8">
      <w:pPr>
        <w:numPr>
          <w:ilvl w:val="1"/>
          <w:numId w:val="42"/>
        </w:numPr>
        <w:spacing w:before="0" w:after="0"/>
        <w:ind w:left="1440" w:hanging="360"/>
      </w:pPr>
      <w:r>
        <w:rPr>
          <w:b/>
        </w:rPr>
        <w:t>主要结论</w:t>
      </w:r>
      <w:r>
        <w:t>：当前基于这9项研究的证据，</w:t>
      </w:r>
      <w:r>
        <w:rPr>
          <w:b/>
        </w:rPr>
        <w:t>尚不能正式确认</w:t>
      </w:r>
      <w:r>
        <w:t>该变量是干预效果的显著调节因子。</w:t>
      </w:r>
    </w:p>
    <w:p w14:paraId="68AF1D43">
      <w:pPr>
        <w:numPr>
          <w:ilvl w:val="1"/>
          <w:numId w:val="42"/>
        </w:numPr>
        <w:spacing w:before="0" w:after="0"/>
        <w:ind w:left="1440" w:hanging="360"/>
      </w:pPr>
      <w:r>
        <w:rPr>
          <w:b/>
        </w:rPr>
        <w:t>重要提示</w:t>
      </w:r>
      <w:r>
        <w:t>：分析中观察到一个</w:t>
      </w:r>
      <w:r>
        <w:rPr>
          <w:b/>
        </w:rPr>
        <w:t>有潜力的趋势</w:t>
      </w:r>
      <w:r>
        <w:t>——更高的变量值（&gt;8）可能与更大的效应量相关。这是一个</w:t>
      </w:r>
      <w:r>
        <w:rPr>
          <w:b/>
        </w:rPr>
        <w:t>值得未来研究重点关注的方向</w:t>
      </w:r>
      <w:r>
        <w:t>。如果有更多在&gt;8条件下的高质量研究被纳入，可能会得到具有统计学显著性的亚组差异。</w:t>
      </w:r>
    </w:p>
    <w:p w14:paraId="5D44CDA0">
      <w:pPr>
        <w:numPr>
          <w:ilvl w:val="1"/>
          <w:numId w:val="42"/>
        </w:numPr>
        <w:spacing w:before="0" w:after="0"/>
        <w:ind w:left="1440" w:hanging="360"/>
      </w:pPr>
      <w:r>
        <w:rPr>
          <w:b/>
        </w:rPr>
        <w:t>与之前分析的对比</w:t>
      </w:r>
      <w:r>
        <w:t>：本报告呈现了元分析结果的另一种典型模式：</w:t>
      </w:r>
      <w:r>
        <w:rPr>
          <w:b/>
        </w:rPr>
        <w:t>低异质性、亚组间有数值差异但统计不显著</w:t>
      </w:r>
      <w:r>
        <w:t>。这与“高异质性、亚组内结果矛盾”或“中等异质性、亚组间无差异”的模式都不同，提醒我们在解读元分析时，需要结合异质性水平、亚组样本量和p值进行综合、谨慎的推断。</w:t>
      </w:r>
    </w:p>
    <w:p w14:paraId="5DC0B219"/>
    <w:p w14:paraId="46E4D261">
      <w:r>
        <w:drawing>
          <wp:inline distT="0" distB="0" distL="114300" distR="114300">
            <wp:extent cx="5271770" cy="6096635"/>
            <wp:effectExtent l="0" t="0" r="5080" b="184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71770" cy="6096635"/>
                    </a:xfrm>
                    <a:prstGeom prst="rect">
                      <a:avLst/>
                    </a:prstGeom>
                    <a:noFill/>
                    <a:ln>
                      <a:noFill/>
                    </a:ln>
                  </pic:spPr>
                </pic:pic>
              </a:graphicData>
            </a:graphic>
          </wp:inline>
        </w:drawing>
      </w:r>
    </w:p>
    <w:p w14:paraId="01E94075">
      <w:pPr>
        <w:widowControl w:val="0"/>
        <w:numPr>
          <w:ilvl w:val="1"/>
          <w:numId w:val="42"/>
        </w:numPr>
        <w:spacing w:before="0" w:after="0"/>
        <w:ind w:left="1440" w:leftChars="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这份文件是第八份元分析报告，探讨了 “干预强度” 对效果的调节作用，将研究分为 低强度、中等强度和中等至高强度 三个亚组。本次分析的显著特点是总体异质性低且不显著。以下是详细解读：</w:t>
      </w:r>
    </w:p>
    <w:p w14:paraId="1CEA8395">
      <w:pPr>
        <w:widowControl w:val="0"/>
        <w:numPr>
          <w:ilvl w:val="1"/>
          <w:numId w:val="42"/>
        </w:numPr>
        <w:spacing w:before="0" w:after="0"/>
        <w:ind w:left="1200" w:leftChars="4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w:t>
      </w:r>
    </w:p>
    <w:p w14:paraId="0E2E6AEB">
      <w:pPr>
        <w:keepNext/>
        <w:keepLines/>
        <w:widowControl w:val="0"/>
        <w:spacing w:before="260" w:beforeLines="0" w:beforeAutospacing="0" w:after="260" w:afterLines="0" w:afterAutospacing="0" w:line="413" w:lineRule="auto"/>
        <w:jc w:val="both"/>
        <w:outlineLvl w:val="2"/>
        <w:rPr>
          <w:rFonts w:hint="eastAsia" w:asciiTheme="minorHAnsi" w:hAnsiTheme="minorHAnsi" w:eastAsiaTheme="minorEastAsia" w:cstheme="minorBidi"/>
          <w:b/>
          <w:kern w:val="2"/>
          <w:sz w:val="32"/>
          <w:szCs w:val="24"/>
          <w:lang w:val="en-US" w:eastAsia="zh-CN" w:bidi="ar-SA"/>
        </w:rPr>
      </w:pPr>
      <w:r>
        <w:rPr>
          <w:rFonts w:hint="eastAsia" w:asciiTheme="minorHAnsi" w:hAnsiTheme="minorHAnsi" w:eastAsiaTheme="minorEastAsia" w:cstheme="minorBidi"/>
          <w:b/>
          <w:kern w:val="2"/>
          <w:sz w:val="32"/>
          <w:szCs w:val="24"/>
          <w:lang w:val="en-US" w:eastAsia="zh-CN" w:bidi="ar-SA"/>
        </w:rPr>
        <w:t xml:space="preserve"> 整体研究概况</w:t>
      </w:r>
    </w:p>
    <w:p w14:paraId="2C837B9A">
      <w:pPr>
        <w:widowControl w:val="0"/>
        <w:spacing w:before="0" w:after="0"/>
        <w:ind w:left="720" w:leftChars="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Number of studies: </w:t>
      </w:r>
      <m:oMath>
        <m:r>
          <m:rPr/>
          <w:rPr>
            <w:rFonts w:hint="default" w:ascii="Cambria Math"/>
          </w:rPr>
          <m:t>k=9</m:t>
        </m:r>
      </m:oMath>
      <w:r>
        <w:rPr>
          <w:rFonts w:hint="eastAsia" w:asciiTheme="minorHAnsi" w:hAnsiTheme="minorHAnsi" w:eastAsiaTheme="minorEastAsia" w:cstheme="minorBidi"/>
          <w:kern w:val="2"/>
          <w:sz w:val="21"/>
          <w:szCs w:val="24"/>
          <w:lang w:val="en-US" w:eastAsia="zh-CN" w:bidi="ar-SA"/>
        </w:rPr>
        <w:t>： 共纳入 9 项研究。</w:t>
      </w:r>
    </w:p>
    <w:p w14:paraId="637A2626">
      <w:pPr>
        <w:widowControl w:val="0"/>
        <w:spacing w:before="0" w:after="0"/>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Number of observations: </w:t>
      </w:r>
      <m:oMath>
        <m:r>
          <m:rPr/>
          <w:rPr>
            <w:rFonts w:hint="default" w:ascii="Cambria Math"/>
          </w:rPr>
          <m:t>o=551</m:t>
        </m:r>
      </m:oMath>
      <w:r>
        <w:rPr>
          <w:rFonts w:hint="eastAsia" w:asciiTheme="minorHAnsi" w:hAnsiTheme="minorHAnsi" w:eastAsiaTheme="minorEastAsia" w:cstheme="minorBidi"/>
          <w:kern w:val="2"/>
          <w:sz w:val="21"/>
          <w:szCs w:val="24"/>
          <w:lang w:val="en-US" w:eastAsia="zh-CN" w:bidi="ar-SA"/>
        </w:rPr>
        <w:t>： 总样本量为 551 名受试者。</w:t>
      </w:r>
    </w:p>
    <w:p w14:paraId="015CDE8E">
      <w:pPr>
        <w:widowControl w:val="0"/>
        <w:spacing w:before="0" w:after="0"/>
        <w:ind w:left="420" w:leftChars="2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`o.e = 263`： 实验组人数。</w:t>
      </w:r>
    </w:p>
    <w:p w14:paraId="5BBAA7A2">
      <w:pPr>
        <w:widowControl w:val="0"/>
        <w:spacing w:before="0" w:after="0"/>
        <w:ind w:left="420" w:leftChars="20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`o.c = 288`： 对照组人数。</w:t>
      </w:r>
    </w:p>
    <w:p w14:paraId="3D1FA8B7">
      <w:pPr>
        <w:widowControl w:val="0"/>
        <w:spacing w:before="0" w:after="0"/>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注意：本分析样本量较小。</w:t>
      </w:r>
    </w:p>
    <w:p w14:paraId="775B39B1">
      <w:pPr>
        <w:keepNext/>
        <w:keepLines/>
        <w:widowControl w:val="0"/>
        <w:spacing w:before="260" w:beforeLines="0" w:beforeAutospacing="0" w:after="260" w:afterLines="0" w:afterAutospacing="0" w:line="413" w:lineRule="auto"/>
        <w:jc w:val="both"/>
        <w:outlineLvl w:val="2"/>
        <w:rPr>
          <w:rFonts w:hint="eastAsia" w:asciiTheme="minorHAnsi" w:hAnsiTheme="minorHAnsi" w:eastAsiaTheme="minorEastAsia" w:cstheme="minorBidi"/>
          <w:b/>
          <w:kern w:val="2"/>
          <w:sz w:val="32"/>
          <w:szCs w:val="24"/>
          <w:lang w:val="en-US" w:eastAsia="zh-CN" w:bidi="ar-SA"/>
        </w:rPr>
      </w:pPr>
      <w:r>
        <w:rPr>
          <w:rFonts w:hint="eastAsia" w:asciiTheme="minorHAnsi" w:hAnsiTheme="minorHAnsi" w:eastAsiaTheme="minorEastAsia" w:cstheme="minorBidi"/>
          <w:b/>
          <w:kern w:val="2"/>
          <w:sz w:val="32"/>
          <w:szCs w:val="24"/>
          <w:lang w:val="en-US" w:eastAsia="zh-CN" w:bidi="ar-SA"/>
        </w:rPr>
        <w:t xml:space="preserve"> 1. 总效应汇总</w:t>
      </w:r>
    </w:p>
    <w:p w14:paraId="1E4765DC">
      <w:pPr>
        <w:keepNext/>
        <w:keepLines/>
        <w:widowControl w:val="0"/>
        <w:spacing w:before="280" w:beforeLines="0" w:beforeAutospacing="0" w:after="290" w:afterLines="0" w:afterAutospacing="0" w:line="372" w:lineRule="auto"/>
        <w:jc w:val="both"/>
        <w:outlineLvl w:val="3"/>
        <w:rPr>
          <w:rFonts w:hint="eastAsia" w:ascii="Arial" w:hAnsi="Arial" w:eastAsia="黑体" w:cstheme="minorBidi"/>
          <w:b/>
          <w:kern w:val="2"/>
          <w:sz w:val="28"/>
          <w:szCs w:val="24"/>
          <w:lang w:val="en-US" w:eastAsia="zh-CN" w:bidi="ar-SA"/>
        </w:rPr>
      </w:pPr>
      <w:r>
        <w:rPr>
          <w:rFonts w:hint="eastAsia" w:ascii="Arial" w:hAnsi="Arial" w:eastAsia="黑体" w:cstheme="minorBidi"/>
          <w:b/>
          <w:kern w:val="2"/>
          <w:sz w:val="28"/>
          <w:szCs w:val="24"/>
          <w:lang w:val="en-US" w:eastAsia="zh-CN" w:bidi="ar-SA"/>
        </w:rPr>
        <w:t xml:space="preserve"> Common effect model（固定效应模型）</w:t>
      </w:r>
    </w:p>
    <w:p w14:paraId="7C7642C6">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SMD = 0.3523 [0.1817; 0.5228]： 汇总效应量为小到中度正效应，且效应显著（CI不含0）。</w:t>
      </w:r>
    </w:p>
    <w:p w14:paraId="395E209E">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z = 4.05, p &lt; 0.0001： 统计检验高度显著。</w:t>
      </w:r>
    </w:p>
    <w:p w14:paraId="042D511E">
      <w:pPr>
        <w:keepNext/>
        <w:keepLines/>
        <w:widowControl w:val="0"/>
        <w:spacing w:before="280" w:beforeLines="0" w:beforeAutospacing="0" w:after="290" w:afterLines="0" w:afterAutospacing="0" w:line="372" w:lineRule="auto"/>
        <w:jc w:val="both"/>
        <w:outlineLvl w:val="3"/>
        <w:rPr>
          <w:rFonts w:hint="eastAsia" w:ascii="Arial" w:hAnsi="Arial" w:eastAsia="黑体" w:cstheme="minorBidi"/>
          <w:b/>
          <w:kern w:val="2"/>
          <w:sz w:val="28"/>
          <w:szCs w:val="24"/>
          <w:lang w:val="en-US" w:eastAsia="zh-CN" w:bidi="ar-SA"/>
        </w:rPr>
      </w:pPr>
      <w:r>
        <w:rPr>
          <w:rFonts w:hint="eastAsia" w:ascii="Arial" w:hAnsi="Arial" w:eastAsia="黑体" w:cstheme="minorBidi"/>
          <w:b/>
          <w:kern w:val="2"/>
          <w:sz w:val="28"/>
          <w:szCs w:val="24"/>
          <w:lang w:val="en-US" w:eastAsia="zh-CN" w:bidi="ar-SA"/>
        </w:rPr>
        <w:t xml:space="preserve"> Random effects model（随机效应模型）</w:t>
      </w:r>
    </w:p>
    <w:p w14:paraId="64EEBA44">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SMD = 0.3603 [0.1735; 0.5471]： 汇总效应量与固定效应模型几乎相同，置信区间略微加宽，效应仍高度显著。</w:t>
      </w:r>
    </w:p>
    <w:p w14:paraId="7C0B4C49">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z = 3.78, p = 0.0002： 统计检验显著。</w:t>
      </w:r>
    </w:p>
    <w:p w14:paraId="17A605E4">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&gt; 关键点：两个模型的结果非常接近，强烈暗示总体异质性很低。</w:t>
      </w:r>
    </w:p>
    <w:p w14:paraId="74DCC081">
      <w:pPr>
        <w:keepNext/>
        <w:keepLines/>
        <w:widowControl w:val="0"/>
        <w:spacing w:before="260" w:beforeLines="0" w:beforeAutospacing="0" w:after="260" w:afterLines="0" w:afterAutospacing="0" w:line="413" w:lineRule="auto"/>
        <w:jc w:val="both"/>
        <w:outlineLvl w:val="2"/>
        <w:rPr>
          <w:rFonts w:hint="eastAsia" w:asciiTheme="minorHAnsi" w:hAnsiTheme="minorHAnsi" w:eastAsiaTheme="minorEastAsia" w:cstheme="minorBidi"/>
          <w:b/>
          <w:kern w:val="2"/>
          <w:sz w:val="32"/>
          <w:szCs w:val="24"/>
          <w:lang w:val="en-US" w:eastAsia="zh-CN" w:bidi="ar-SA"/>
        </w:rPr>
      </w:pPr>
      <w:r>
        <w:rPr>
          <w:rFonts w:hint="eastAsia" w:asciiTheme="minorHAnsi" w:hAnsiTheme="minorHAnsi" w:eastAsiaTheme="minorEastAsia" w:cstheme="minorBidi"/>
          <w:b/>
          <w:kern w:val="2"/>
          <w:sz w:val="32"/>
          <w:szCs w:val="24"/>
          <w:lang w:val="en-US" w:eastAsia="zh-CN" w:bidi="ar-SA"/>
        </w:rPr>
        <w:t xml:space="preserve"> 2. 异质性分析</w:t>
      </w:r>
    </w:p>
    <w:p w14:paraId="70AE81FB">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tau² = 0.0128: 研究间真实效应量的方差估计值极小。</w:t>
      </w:r>
    </w:p>
    <w:p w14:paraId="06BF711E">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I² = 31.8%: 31.8% 的效应量变异可能由研究间差异引起，属于低异质性，且其置信区间下限为0%。</w:t>
      </w:r>
    </w:p>
    <w:p w14:paraId="6E87FCBD">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Q检验 </w:t>
      </w:r>
      <m:oMath>
        <m:r>
          <m:rPr/>
          <w:rPr>
            <w:rFonts w:hint="default" w:ascii="Cambria Math"/>
          </w:rPr>
          <m:t>Q=11.74,p=0.1633</m:t>
        </m:r>
      </m:oMath>
      <w:r>
        <w:rPr>
          <w:rFonts w:hint="eastAsia" w:asciiTheme="minorHAnsi" w:hAnsiTheme="minorHAnsi" w:eastAsiaTheme="minorEastAsia" w:cstheme="minorBidi"/>
          <w:kern w:val="2"/>
          <w:sz w:val="21"/>
          <w:szCs w:val="24"/>
          <w:lang w:val="en-US" w:eastAsia="zh-CN" w:bidi="ar-SA"/>
        </w:rPr>
        <w:t>： p &gt; 0.05，结果不显著。这意味着没有足够证据表明这些研究间存在真实的异质性，结果差异很可能源于抽样误差。</w:t>
      </w:r>
    </w:p>
    <w:p w14:paraId="3E48EF3E">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&gt; 结论：由于异质性检验不显著，且I²较低，固定效应模型和随机效应模型的结果都高度可信且基本一致。这组研究可被视为同质。</w:t>
      </w:r>
    </w:p>
    <w:p w14:paraId="1287EB05">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w:t>
      </w:r>
    </w:p>
    <w:p w14:paraId="38E01189">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3. 亚组分析：按“干预强度”分层</w:t>
      </w:r>
    </w:p>
    <w:p w14:paraId="7EDFFF60">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分析旨在回答：干预效果是否因干预强度的不同（低、中、中-高强度）而存在差异？</w:t>
      </w:r>
    </w:p>
    <w:p w14:paraId="64BD03BA">
      <w:pPr>
        <w:keepNext/>
        <w:keepLines/>
        <w:widowControl w:val="0"/>
        <w:spacing w:before="280" w:beforeLines="0" w:beforeAutospacing="0" w:after="290" w:afterLines="0" w:afterAutospacing="0" w:line="372" w:lineRule="auto"/>
        <w:jc w:val="both"/>
        <w:outlineLvl w:val="3"/>
        <w:rPr>
          <w:rFonts w:hint="eastAsia" w:ascii="Arial" w:hAnsi="Arial" w:eastAsia="黑体" w:cstheme="minorBidi"/>
          <w:b/>
          <w:kern w:val="2"/>
          <w:sz w:val="28"/>
          <w:szCs w:val="24"/>
          <w:lang w:val="en-US" w:eastAsia="zh-CN" w:bidi="ar-SA"/>
        </w:rPr>
      </w:pPr>
      <w:r>
        <w:rPr>
          <w:rFonts w:hint="eastAsia" w:ascii="Arial" w:hAnsi="Arial" w:eastAsia="黑体" w:cstheme="minorBidi"/>
          <w:b/>
          <w:kern w:val="2"/>
          <w:sz w:val="28"/>
          <w:szCs w:val="24"/>
          <w:lang w:val="en-US" w:eastAsia="zh-CN" w:bidi="ar-SA"/>
        </w:rPr>
        <w:t xml:space="preserve"> 3.1 固定效应模型下的亚组结果</w:t>
      </w:r>
    </w:p>
    <w:p w14:paraId="20E58C81">
      <w:pPr>
        <w:jc w:val="center"/>
        <w:rPr>
          <w:rFonts w:hint="default" w:ascii="Calibri" w:hAnsi="Calibri" w:cs="Calibri"/>
        </w:rPr>
      </w:pPr>
      <w:r>
        <w:rPr>
          <w:rFonts w:hint="default" w:ascii="Calibri" w:hAnsi="Calibri" w:cs="Calibri"/>
        </w:rPr>
        <w:t>选中文本转换表格</w:t>
      </w:r>
    </w:p>
    <w:tbl>
      <w:tblP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4129"/>
        <w:gridCol w:w="407"/>
        <w:gridCol w:w="886"/>
        <w:gridCol w:w="1688"/>
        <w:gridCol w:w="673"/>
        <w:gridCol w:w="823"/>
      </w:tblGrid>
      <w:tr w14:paraId="1D0D1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FF9376D">
            <w:pPr>
              <w:jc w:val="center"/>
              <w:rPr>
                <w:rFonts w:hint="default" w:ascii="Calibri" w:hAnsi="Calibri" w:cs="Calibri"/>
                <w:b/>
              </w:rPr>
            </w:pPr>
            <w:r>
              <w:rPr>
                <w:rFonts w:hint="default" w:ascii="Calibri" w:hAnsi="Calibri" w:cs="Calibri"/>
                <w:b/>
              </w:rPr>
              <w:t>亚组</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3DEA65B">
            <w:pPr>
              <w:jc w:val="center"/>
              <w:rPr>
                <w:rFonts w:hint="default" w:ascii="Calibri" w:hAnsi="Calibri" w:cs="Calibri"/>
                <w:b/>
              </w:rPr>
            </w:pPr>
            <w:r>
              <w:rPr>
                <w:rFonts w:hint="default" w:ascii="Calibri" w:hAnsi="Calibri" w:cs="Calibri"/>
                <w:b/>
              </w:rPr>
              <w:t>k</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1FC8F32">
            <w:pPr>
              <w:jc w:val="center"/>
              <w:rPr>
                <w:rFonts w:hint="default" w:ascii="Calibri" w:hAnsi="Calibri" w:cs="Calibri"/>
                <w:b/>
              </w:rPr>
            </w:pPr>
            <w:r>
              <w:rPr>
                <w:rFonts w:hint="default" w:ascii="Calibri" w:hAnsi="Calibri" w:cs="Calibri"/>
                <w:b/>
              </w:rPr>
              <w:t>SMD</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D862ADD">
            <w:pPr>
              <w:jc w:val="center"/>
              <w:rPr>
                <w:rFonts w:hint="default" w:ascii="Calibri" w:hAnsi="Calibri" w:cs="Calibri"/>
                <w:b/>
              </w:rPr>
            </w:pPr>
            <w:r>
              <w:rPr>
                <w:rFonts w:hint="default" w:ascii="Calibri" w:hAnsi="Calibri" w:cs="Calibri"/>
                <w:b/>
              </w:rPr>
              <w:t>95%-CI</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8C97304">
            <w:pPr>
              <w:jc w:val="center"/>
              <w:rPr>
                <w:rFonts w:hint="default" w:ascii="Calibri" w:hAnsi="Calibri" w:cs="Calibri"/>
                <w:b/>
              </w:rPr>
            </w:pPr>
            <w:r>
              <w:rPr>
                <w:rFonts w:hint="default" w:ascii="Calibri" w:hAnsi="Calibri" w:cs="Calibri"/>
                <w:b/>
              </w:rPr>
              <w:t>Q</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539F624">
            <w:pPr>
              <w:jc w:val="center"/>
              <w:rPr>
                <w:rFonts w:hint="default" w:ascii="Calibri" w:hAnsi="Calibri" w:cs="Calibri"/>
                <w:b/>
              </w:rPr>
            </w:pPr>
            <w:r>
              <w:rPr>
                <w:rFonts w:hint="default" w:ascii="Calibri" w:hAnsi="Calibri" w:cs="Calibri"/>
                <w:b/>
              </w:rPr>
              <w:t>I²</w:t>
            </w:r>
          </w:p>
        </w:tc>
      </w:tr>
      <w:tr w14:paraId="6CBBC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ED0D7FD">
            <w:pPr>
              <w:jc w:val="left"/>
              <w:rPr>
                <w:rFonts w:hint="default" w:ascii="Calibri" w:hAnsi="Calibri" w:cs="Calibri"/>
              </w:rPr>
            </w:pPr>
            <w:r>
              <w:rPr>
                <w:rFonts w:hint="default" w:ascii="Calibri" w:hAnsi="Calibri" w:cs="Calibri"/>
              </w:rPr>
              <w:t>medium intensity (中等强度)</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6459A3F">
            <w:pPr>
              <w:jc w:val="left"/>
              <w:rPr>
                <w:rFonts w:hint="default" w:ascii="Calibri" w:hAnsi="Calibri" w:cs="Calibri"/>
              </w:rPr>
            </w:pPr>
            <w:r>
              <w:rPr>
                <w:rFonts w:hint="default" w:ascii="Calibri" w:hAnsi="Calibri" w:cs="Calibri"/>
              </w:rPr>
              <w:t>3</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AB59B92">
            <w:pPr>
              <w:jc w:val="left"/>
              <w:rPr>
                <w:rFonts w:hint="default" w:ascii="Calibri" w:hAnsi="Calibri" w:cs="Calibri"/>
              </w:rPr>
            </w:pPr>
            <w:r>
              <w:rPr>
                <w:rFonts w:hint="default" w:ascii="Calibri" w:hAnsi="Calibri" w:cs="Calibri"/>
              </w:rPr>
              <w:t>0.3855</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013EFB5">
            <w:pPr>
              <w:jc w:val="left"/>
              <w:rPr>
                <w:rFonts w:hint="default" w:ascii="Calibri" w:hAnsi="Calibri" w:cs="Calibri"/>
              </w:rPr>
            </w:pPr>
            <w:r>
              <w:rPr>
                <w:rFonts w:hint="default" w:ascii="Calibri" w:hAnsi="Calibri" w:cs="Calibri"/>
              </w:rPr>
              <w:t>[0.0644; 0.7065]</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E5B4611">
            <w:pPr>
              <w:jc w:val="left"/>
              <w:rPr>
                <w:rFonts w:hint="default" w:ascii="Calibri" w:hAnsi="Calibri" w:cs="Calibri"/>
              </w:rPr>
            </w:pPr>
            <w:r>
              <w:rPr>
                <w:rFonts w:hint="default" w:ascii="Calibri" w:hAnsi="Calibri" w:cs="Calibri"/>
              </w:rPr>
              <w:t>6.63</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EBBA72E">
            <w:pPr>
              <w:jc w:val="left"/>
              <w:rPr>
                <w:rFonts w:hint="default" w:ascii="Calibri" w:hAnsi="Calibri" w:cs="Calibri"/>
              </w:rPr>
            </w:pPr>
            <w:r>
              <w:rPr>
                <w:rFonts w:hint="default" w:ascii="Calibri" w:hAnsi="Calibri" w:cs="Calibri"/>
              </w:rPr>
              <w:t>69.9%</w:t>
            </w:r>
          </w:p>
        </w:tc>
      </w:tr>
      <w:tr w14:paraId="2958D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B69040F">
            <w:pPr>
              <w:jc w:val="left"/>
              <w:rPr>
                <w:rFonts w:hint="default" w:ascii="Calibri" w:hAnsi="Calibri" w:cs="Calibri"/>
              </w:rPr>
            </w:pPr>
            <w:r>
              <w:rPr>
                <w:rFonts w:hint="default" w:ascii="Calibri" w:hAnsi="Calibri" w:cs="Calibri"/>
              </w:rPr>
              <w:t>moderate-to-vigorous intensity (中等至高强度)</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BE410E9">
            <w:pPr>
              <w:jc w:val="left"/>
              <w:rPr>
                <w:rFonts w:hint="default" w:ascii="Calibri" w:hAnsi="Calibri" w:cs="Calibri"/>
              </w:rPr>
            </w:pPr>
            <w:r>
              <w:rPr>
                <w:rFonts w:hint="default" w:ascii="Calibri" w:hAnsi="Calibri" w:cs="Calibri"/>
              </w:rPr>
              <w:t>4</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14E8533">
            <w:pPr>
              <w:jc w:val="left"/>
              <w:rPr>
                <w:rFonts w:hint="default" w:ascii="Calibri" w:hAnsi="Calibri" w:cs="Calibri"/>
              </w:rPr>
            </w:pPr>
            <w:r>
              <w:rPr>
                <w:rFonts w:hint="default" w:ascii="Calibri" w:hAnsi="Calibri" w:cs="Calibri"/>
              </w:rPr>
              <w:t>0.3521</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865B9D0">
            <w:pPr>
              <w:jc w:val="left"/>
              <w:rPr>
                <w:rFonts w:hint="default" w:ascii="Calibri" w:hAnsi="Calibri" w:cs="Calibri"/>
              </w:rPr>
            </w:pPr>
            <w:r>
              <w:rPr>
                <w:rFonts w:hint="default" w:ascii="Calibri" w:hAnsi="Calibri" w:cs="Calibri"/>
              </w:rPr>
              <w:t>[0.1062; 0.5981]</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BBEF81C">
            <w:pPr>
              <w:jc w:val="left"/>
              <w:rPr>
                <w:rFonts w:hint="default" w:ascii="Calibri" w:hAnsi="Calibri" w:cs="Calibri"/>
              </w:rPr>
            </w:pPr>
            <w:r>
              <w:rPr>
                <w:rFonts w:hint="default" w:ascii="Calibri" w:hAnsi="Calibri" w:cs="Calibri"/>
              </w:rPr>
              <w:t>4.96</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77A39E0">
            <w:pPr>
              <w:jc w:val="left"/>
              <w:rPr>
                <w:rFonts w:hint="default" w:ascii="Calibri" w:hAnsi="Calibri" w:cs="Calibri"/>
              </w:rPr>
            </w:pPr>
            <w:r>
              <w:rPr>
                <w:rFonts w:hint="default" w:ascii="Calibri" w:hAnsi="Calibri" w:cs="Calibri"/>
              </w:rPr>
              <w:t>39.5%</w:t>
            </w:r>
          </w:p>
        </w:tc>
      </w:tr>
      <w:tr w14:paraId="42AE0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7915742">
            <w:pPr>
              <w:jc w:val="left"/>
              <w:rPr>
                <w:rFonts w:hint="default" w:ascii="Calibri" w:hAnsi="Calibri" w:cs="Calibri"/>
              </w:rPr>
            </w:pPr>
            <w:r>
              <w:rPr>
                <w:rFonts w:hint="default" w:ascii="Calibri" w:hAnsi="Calibri" w:cs="Calibri"/>
              </w:rPr>
              <w:t>low intensity (低强度)</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77AA518">
            <w:pPr>
              <w:jc w:val="left"/>
              <w:rPr>
                <w:rFonts w:hint="default" w:ascii="Calibri" w:hAnsi="Calibri" w:cs="Calibri"/>
              </w:rPr>
            </w:pPr>
            <w:r>
              <w:rPr>
                <w:rFonts w:hint="default" w:ascii="Calibri" w:hAnsi="Calibri" w:cs="Calibri"/>
              </w:rPr>
              <w:t>2</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39AF5B7">
            <w:pPr>
              <w:jc w:val="left"/>
              <w:rPr>
                <w:rFonts w:hint="default" w:ascii="Calibri" w:hAnsi="Calibri" w:cs="Calibri"/>
              </w:rPr>
            </w:pPr>
            <w:r>
              <w:rPr>
                <w:rFonts w:hint="default" w:ascii="Calibri" w:hAnsi="Calibri" w:cs="Calibri"/>
              </w:rPr>
              <w:t>0.3130</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825F19A">
            <w:pPr>
              <w:jc w:val="left"/>
              <w:rPr>
                <w:rFonts w:hint="default" w:ascii="Calibri" w:hAnsi="Calibri" w:cs="Calibri"/>
              </w:rPr>
            </w:pPr>
            <w:r>
              <w:rPr>
                <w:rFonts w:hint="default" w:ascii="Calibri" w:hAnsi="Calibri" w:cs="Calibri"/>
              </w:rPr>
              <w:t>[-0.0373; 0.6633]</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1E4003E">
            <w:pPr>
              <w:jc w:val="left"/>
              <w:rPr>
                <w:rFonts w:hint="default" w:ascii="Calibri" w:hAnsi="Calibri" w:cs="Calibri"/>
              </w:rPr>
            </w:pPr>
            <w:r>
              <w:rPr>
                <w:rFonts w:hint="default" w:ascii="Calibri" w:hAnsi="Calibri" w:cs="Calibri"/>
              </w:rPr>
              <w:t>0.05</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91271DD">
            <w:pPr>
              <w:jc w:val="left"/>
              <w:rPr>
                <w:rFonts w:hint="default" w:ascii="Calibri" w:hAnsi="Calibri" w:cs="Calibri"/>
              </w:rPr>
            </w:pPr>
            <w:r>
              <w:rPr>
                <w:rFonts w:hint="default" w:ascii="Calibri" w:hAnsi="Calibri" w:cs="Calibri"/>
              </w:rPr>
              <w:t>0.0%</w:t>
            </w:r>
          </w:p>
        </w:tc>
      </w:tr>
    </w:tbl>
    <w:p w14:paraId="57B15FA9">
      <w:pPr>
        <w:widowControl w:val="0"/>
        <w:ind w:leftChars="0"/>
        <w:jc w:val="both"/>
        <w:rPr>
          <w:rFonts w:hint="eastAsia" w:asciiTheme="minorHAnsi" w:hAnsiTheme="minorHAnsi" w:eastAsiaTheme="minorEastAsia" w:cstheme="minorBidi"/>
          <w:kern w:val="2"/>
          <w:sz w:val="21"/>
          <w:szCs w:val="24"/>
          <w:lang w:val="en-US" w:eastAsia="zh-CN" w:bidi="ar-SA"/>
        </w:rPr>
      </w:pPr>
    </w:p>
    <w:p w14:paraId="37D34A56">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解读：</w:t>
      </w:r>
    </w:p>
    <w:p w14:paraId="655EE921">
      <w:pPr>
        <w:widowControl w:val="0"/>
        <w:ind w:leftChars="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中等强度组：3项研究，效应为小到中度正效应且显著。但组内存在高异质性（I²=69.9%），说明这3个研究结果不一致。</w:t>
      </w:r>
    </w:p>
    <w:p w14:paraId="7E8D3D44">
      <w:pPr>
        <w:widowControl w:val="0"/>
        <w:ind w:leftChars="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中等至高强度组：4项研究，效应为小到中度正效应且显著。组内存在低到中度异质性（I²=39.5%）。</w:t>
      </w:r>
    </w:p>
    <w:p w14:paraId="4BA77E90">
      <w:pPr>
        <w:widowControl w:val="0"/>
        <w:ind w:leftChars="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低强度组：仅2项研究，效应为小的正效应但统计上不显著（CI包含0），组内无异质性。</w:t>
      </w:r>
    </w:p>
    <w:p w14:paraId="2D618982">
      <w:pPr>
        <w:keepNext/>
        <w:keepLines/>
        <w:widowControl w:val="0"/>
        <w:spacing w:before="280" w:beforeLines="0" w:beforeAutospacing="0" w:after="290" w:afterLines="0" w:afterAutospacing="0" w:line="372" w:lineRule="auto"/>
        <w:jc w:val="both"/>
        <w:outlineLvl w:val="3"/>
        <w:rPr>
          <w:rFonts w:hint="eastAsia" w:ascii="Arial" w:hAnsi="Arial" w:eastAsia="黑体" w:cstheme="minorBidi"/>
          <w:b/>
          <w:kern w:val="2"/>
          <w:sz w:val="28"/>
          <w:szCs w:val="24"/>
          <w:lang w:val="en-US" w:eastAsia="zh-CN" w:bidi="ar-SA"/>
        </w:rPr>
      </w:pPr>
      <w:r>
        <w:rPr>
          <w:rFonts w:hint="eastAsia" w:ascii="Arial" w:hAnsi="Arial" w:eastAsia="黑体" w:cstheme="minorBidi"/>
          <w:b/>
          <w:kern w:val="2"/>
          <w:sz w:val="28"/>
          <w:szCs w:val="24"/>
          <w:lang w:val="en-US" w:eastAsia="zh-CN" w:bidi="ar-SA"/>
        </w:rPr>
        <w:t xml:space="preserve"> 3.2 固定效应模型下的亚组差异检验</w:t>
      </w:r>
    </w:p>
    <w:p w14:paraId="0062C800">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w:t>
      </w:r>
    </w:p>
    <w:p w14:paraId="4BAE9AC2">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Between groups  Q=0.09, p=0.9563</w:t>
      </w:r>
    </w:p>
    <w:p w14:paraId="4A1D47DC">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within groups   Q=11.65, p=0.0703</w:t>
      </w:r>
    </w:p>
    <w:p w14:paraId="3DCD3CFB">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w:t>
      </w:r>
    </w:p>
    <w:p w14:paraId="5316F0B6">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解读：</w:t>
      </w:r>
    </w:p>
    <w:p w14:paraId="79778F34">
      <w:pPr>
        <w:widowControl w:val="0"/>
        <w:ind w:leftChars="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亚组间差异检验 (Between groups): p=0.9563 &gt;&gt; 0.05。这表明，在固定效应模型下，不同强度亚组间的效应量差异完全没有统计学意义。</w:t>
      </w:r>
    </w:p>
    <w:p w14:paraId="656D5E68">
      <w:pPr>
        <w:widowControl w:val="0"/>
        <w:ind w:leftChars="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组内异质性 (Within groups): p=0.0703，处于显著性边缘但未超过0.05，提示在分组后，组内剩余异质性可能不显著，这与总检验结果一致。</w:t>
      </w:r>
    </w:p>
    <w:p w14:paraId="7EACF716">
      <w:pPr>
        <w:keepNext/>
        <w:keepLines/>
        <w:widowControl w:val="0"/>
        <w:spacing w:before="280" w:beforeLines="0" w:beforeAutospacing="0" w:after="290" w:afterLines="0" w:afterAutospacing="0" w:line="372" w:lineRule="auto"/>
        <w:jc w:val="both"/>
        <w:outlineLvl w:val="3"/>
        <w:rPr>
          <w:rFonts w:hint="eastAsia" w:ascii="Arial" w:hAnsi="Arial" w:eastAsia="黑体" w:cstheme="minorBidi"/>
          <w:b/>
          <w:kern w:val="2"/>
          <w:sz w:val="28"/>
          <w:szCs w:val="24"/>
          <w:lang w:val="en-US" w:eastAsia="zh-CN" w:bidi="ar-SA"/>
        </w:rPr>
      </w:pPr>
      <w:r>
        <w:rPr>
          <w:rFonts w:hint="eastAsia" w:ascii="Arial" w:hAnsi="Arial" w:eastAsia="黑体" w:cstheme="minorBidi"/>
          <w:b/>
          <w:kern w:val="2"/>
          <w:sz w:val="28"/>
          <w:szCs w:val="24"/>
          <w:lang w:val="en-US" w:eastAsia="zh-CN" w:bidi="ar-SA"/>
        </w:rPr>
        <w:t xml:space="preserve"> 3.3 随机效应模型下的亚组结果</w:t>
      </w:r>
    </w:p>
    <w:p w14:paraId="2F21A93B">
      <w:pPr>
        <w:jc w:val="center"/>
        <w:rPr>
          <w:rFonts w:hint="default" w:ascii="Calibri" w:hAnsi="Calibri" w:cs="Calibri"/>
        </w:rPr>
      </w:pPr>
      <w:r>
        <w:rPr>
          <w:rFonts w:hint="default" w:ascii="Calibri" w:hAnsi="Calibri" w:cs="Calibri"/>
        </w:rPr>
        <w:t>亚组数据表</w:t>
      </w:r>
    </w:p>
    <w:tbl>
      <w:tblP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3919"/>
        <w:gridCol w:w="407"/>
        <w:gridCol w:w="886"/>
        <w:gridCol w:w="1622"/>
        <w:gridCol w:w="886"/>
        <w:gridCol w:w="886"/>
      </w:tblGrid>
      <w:tr w14:paraId="57E4D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F0A95C0">
            <w:pPr>
              <w:jc w:val="center"/>
              <w:rPr>
                <w:rFonts w:hint="default" w:ascii="Calibri" w:hAnsi="Calibri" w:cs="Calibri"/>
                <w:b/>
              </w:rPr>
            </w:pPr>
            <w:r>
              <w:rPr>
                <w:rFonts w:hint="default" w:ascii="Calibri" w:hAnsi="Calibri" w:cs="Calibri"/>
                <w:b/>
              </w:rPr>
              <w:t>亚组</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C4F4D5E">
            <w:pPr>
              <w:jc w:val="center"/>
              <w:rPr>
                <w:rFonts w:hint="default" w:ascii="Calibri" w:hAnsi="Calibri" w:cs="Calibri"/>
                <w:b/>
              </w:rPr>
            </w:pPr>
            <w:r>
              <w:rPr>
                <w:rFonts w:hint="default" w:ascii="Calibri" w:hAnsi="Calibri" w:cs="Calibri"/>
                <w:b/>
              </w:rPr>
              <w:t>k</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10FF46F">
            <w:pPr>
              <w:jc w:val="center"/>
              <w:rPr>
                <w:rFonts w:hint="default" w:ascii="Calibri" w:hAnsi="Calibri" w:cs="Calibri"/>
                <w:b/>
              </w:rPr>
            </w:pPr>
            <w:r>
              <w:rPr>
                <w:rFonts w:hint="default" w:ascii="Calibri" w:hAnsi="Calibri" w:cs="Calibri"/>
                <w:b/>
              </w:rPr>
              <w:t>SMD</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D48C5F4">
            <w:pPr>
              <w:jc w:val="center"/>
              <w:rPr>
                <w:rFonts w:hint="default" w:ascii="Calibri" w:hAnsi="Calibri" w:cs="Calibri"/>
                <w:b/>
              </w:rPr>
            </w:pPr>
            <w:r>
              <w:rPr>
                <w:rFonts w:hint="default" w:ascii="Calibri" w:hAnsi="Calibri" w:cs="Calibri"/>
                <w:b/>
              </w:rPr>
              <w:t>95%-CI</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D58C25D">
            <w:pPr>
              <w:jc w:val="center"/>
              <w:rPr>
                <w:rFonts w:hint="default" w:ascii="Calibri" w:hAnsi="Calibri" w:cs="Calibri"/>
                <w:b/>
              </w:rPr>
            </w:pPr>
            <w:r>
              <w:rPr>
                <w:rFonts w:hint="default" w:ascii="Calibri" w:hAnsi="Calibri" w:cs="Calibri"/>
                <w:b/>
              </w:rPr>
              <w:t>τ²</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0FEE4A9">
            <w:pPr>
              <w:jc w:val="center"/>
              <w:rPr>
                <w:rFonts w:hint="default" w:ascii="Calibri" w:hAnsi="Calibri" w:cs="Calibri"/>
                <w:b/>
              </w:rPr>
            </w:pPr>
            <w:r>
              <w:rPr>
                <w:rFonts w:hint="default" w:ascii="Calibri" w:hAnsi="Calibri" w:cs="Calibri"/>
                <w:b/>
              </w:rPr>
              <w:t>τ</w:t>
            </w:r>
          </w:p>
        </w:tc>
      </w:tr>
      <w:tr w14:paraId="4946D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A7F220C">
            <w:pPr>
              <w:jc w:val="left"/>
              <w:rPr>
                <w:rFonts w:hint="default" w:ascii="Calibri" w:hAnsi="Calibri" w:cs="Calibri"/>
              </w:rPr>
            </w:pPr>
            <w:r>
              <w:rPr>
                <w:rFonts w:hint="default" w:ascii="Calibri" w:hAnsi="Calibri" w:cs="Calibri"/>
              </w:rPr>
              <w:t>medium intensity (中等强度)</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C8AC21F">
            <w:pPr>
              <w:jc w:val="left"/>
              <w:rPr>
                <w:rFonts w:hint="default" w:ascii="Calibri" w:hAnsi="Calibri" w:cs="Calibri"/>
              </w:rPr>
            </w:pPr>
            <w:r>
              <w:rPr>
                <w:rFonts w:hint="default" w:ascii="Calibri" w:hAnsi="Calibri" w:cs="Calibri"/>
              </w:rPr>
              <w:t>3</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84E2716">
            <w:pPr>
              <w:jc w:val="left"/>
              <w:rPr>
                <w:rFonts w:hint="default" w:ascii="Calibri" w:hAnsi="Calibri" w:cs="Calibri"/>
              </w:rPr>
            </w:pPr>
            <w:r>
              <w:rPr>
                <w:rFonts w:hint="default" w:ascii="Calibri" w:hAnsi="Calibri" w:cs="Calibri"/>
              </w:rPr>
              <w:t>0.5434</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456750D">
            <w:pPr>
              <w:jc w:val="left"/>
              <w:rPr>
                <w:rFonts w:hint="default" w:ascii="Calibri" w:hAnsi="Calibri" w:cs="Calibri"/>
              </w:rPr>
            </w:pPr>
            <w:r>
              <w:rPr>
                <w:rFonts w:hint="default" w:ascii="Calibri" w:hAnsi="Calibri" w:cs="Calibri"/>
              </w:rPr>
              <w:t>[-0.1292; 1.2161]</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40E7CFB">
            <w:pPr>
              <w:jc w:val="left"/>
              <w:rPr>
                <w:rFonts w:hint="default" w:ascii="Calibri" w:hAnsi="Calibri" w:cs="Calibri"/>
              </w:rPr>
            </w:pPr>
            <w:r>
              <w:rPr>
                <w:rFonts w:hint="default" w:ascii="Calibri" w:hAnsi="Calibri" w:cs="Calibri"/>
              </w:rPr>
              <w:t>0.2560</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CCD5775">
            <w:pPr>
              <w:jc w:val="left"/>
              <w:rPr>
                <w:rFonts w:hint="default" w:ascii="Calibri" w:hAnsi="Calibri" w:cs="Calibri"/>
              </w:rPr>
            </w:pPr>
            <w:r>
              <w:rPr>
                <w:rFonts w:hint="default" w:ascii="Calibri" w:hAnsi="Calibri" w:cs="Calibri"/>
              </w:rPr>
              <w:t>0.5059</w:t>
            </w:r>
          </w:p>
        </w:tc>
      </w:tr>
      <w:tr w14:paraId="7E18E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EE14A6E">
            <w:pPr>
              <w:jc w:val="left"/>
              <w:rPr>
                <w:rFonts w:hint="default" w:ascii="Calibri" w:hAnsi="Calibri" w:cs="Calibri"/>
              </w:rPr>
            </w:pPr>
            <w:r>
              <w:rPr>
                <w:rFonts w:hint="default" w:ascii="Calibri" w:hAnsi="Calibri" w:cs="Calibri"/>
              </w:rPr>
              <w:t>moderate-to-vigorous intensity (中等至高强度)</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7D6B932">
            <w:pPr>
              <w:jc w:val="left"/>
              <w:rPr>
                <w:rFonts w:hint="default" w:ascii="Calibri" w:hAnsi="Calibri" w:cs="Calibri"/>
              </w:rPr>
            </w:pPr>
            <w:r>
              <w:rPr>
                <w:rFonts w:hint="default" w:ascii="Calibri" w:hAnsi="Calibri" w:cs="Calibri"/>
              </w:rPr>
              <w:t>4</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037FA4B">
            <w:pPr>
              <w:jc w:val="left"/>
              <w:rPr>
                <w:rFonts w:hint="default" w:ascii="Calibri" w:hAnsi="Calibri" w:cs="Calibri"/>
              </w:rPr>
            </w:pPr>
            <w:r>
              <w:rPr>
                <w:rFonts w:hint="default" w:ascii="Calibri" w:hAnsi="Calibri" w:cs="Calibri"/>
              </w:rPr>
              <w:t>0.3595</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3010E12">
            <w:pPr>
              <w:jc w:val="left"/>
              <w:rPr>
                <w:rFonts w:hint="default" w:ascii="Calibri" w:hAnsi="Calibri" w:cs="Calibri"/>
              </w:rPr>
            </w:pPr>
            <w:r>
              <w:rPr>
                <w:rFonts w:hint="default" w:ascii="Calibri" w:hAnsi="Calibri" w:cs="Calibri"/>
              </w:rPr>
              <w:t>[0.0431; 0.6760]</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0418D9D">
            <w:pPr>
              <w:jc w:val="left"/>
              <w:rPr>
                <w:rFonts w:hint="default" w:ascii="Calibri" w:hAnsi="Calibri" w:cs="Calibri"/>
              </w:rPr>
            </w:pPr>
            <w:r>
              <w:rPr>
                <w:rFonts w:hint="default" w:ascii="Calibri" w:hAnsi="Calibri" w:cs="Calibri"/>
              </w:rPr>
              <w:t>0.0412</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B724FE9">
            <w:pPr>
              <w:jc w:val="left"/>
              <w:rPr>
                <w:rFonts w:hint="default" w:ascii="Calibri" w:hAnsi="Calibri" w:cs="Calibri"/>
              </w:rPr>
            </w:pPr>
            <w:r>
              <w:rPr>
                <w:rFonts w:hint="default" w:ascii="Calibri" w:hAnsi="Calibri" w:cs="Calibri"/>
              </w:rPr>
              <w:t>0.2029</w:t>
            </w:r>
          </w:p>
        </w:tc>
      </w:tr>
      <w:tr w14:paraId="5ED6C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AF6B7A0">
            <w:pPr>
              <w:jc w:val="left"/>
              <w:rPr>
                <w:rFonts w:hint="default" w:ascii="Calibri" w:hAnsi="Calibri" w:cs="Calibri"/>
              </w:rPr>
            </w:pPr>
            <w:r>
              <w:rPr>
                <w:rFonts w:hint="default" w:ascii="Calibri" w:hAnsi="Calibri" w:cs="Calibri"/>
              </w:rPr>
              <w:t>low intensity (低强度)</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FB50924">
            <w:pPr>
              <w:jc w:val="left"/>
              <w:rPr>
                <w:rFonts w:hint="default" w:ascii="Calibri" w:hAnsi="Calibri" w:cs="Calibri"/>
              </w:rPr>
            </w:pPr>
            <w:r>
              <w:rPr>
                <w:rFonts w:hint="default" w:ascii="Calibri" w:hAnsi="Calibri" w:cs="Calibri"/>
              </w:rPr>
              <w:t>2</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F1DE5D0">
            <w:pPr>
              <w:jc w:val="left"/>
              <w:rPr>
                <w:rFonts w:hint="default" w:ascii="Calibri" w:hAnsi="Calibri" w:cs="Calibri"/>
              </w:rPr>
            </w:pPr>
            <w:r>
              <w:rPr>
                <w:rFonts w:hint="default" w:ascii="Calibri" w:hAnsi="Calibri" w:cs="Calibri"/>
              </w:rPr>
              <w:t>0.3130</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DAEF742">
            <w:pPr>
              <w:jc w:val="left"/>
              <w:rPr>
                <w:rFonts w:hint="default" w:ascii="Calibri" w:hAnsi="Calibri" w:cs="Calibri"/>
              </w:rPr>
            </w:pPr>
            <w:r>
              <w:rPr>
                <w:rFonts w:hint="default" w:ascii="Calibri" w:hAnsi="Calibri" w:cs="Calibri"/>
              </w:rPr>
              <w:t>[-0.0373; 0.6633]</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BD143F3">
            <w:pPr>
              <w:jc w:val="left"/>
              <w:rPr>
                <w:rFonts w:hint="default" w:ascii="Calibri" w:hAnsi="Calibri" w:cs="Calibri"/>
              </w:rPr>
            </w:pPr>
            <w:r>
              <w:rPr>
                <w:rFonts w:hint="default" w:ascii="Calibri" w:hAnsi="Calibri" w:cs="Calibri"/>
              </w:rPr>
              <w:t>0</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F47A8EE">
            <w:pPr>
              <w:jc w:val="left"/>
              <w:rPr>
                <w:rFonts w:hint="default" w:ascii="Calibri" w:hAnsi="Calibri" w:cs="Calibri"/>
              </w:rPr>
            </w:pPr>
            <w:r>
              <w:rPr>
                <w:rFonts w:hint="default" w:ascii="Calibri" w:hAnsi="Calibri" w:cs="Calibri"/>
              </w:rPr>
              <w:t>0</w:t>
            </w:r>
          </w:p>
        </w:tc>
      </w:tr>
    </w:tbl>
    <w:p w14:paraId="38B07F26">
      <w:pPr>
        <w:widowControl w:val="0"/>
        <w:ind w:leftChars="0"/>
        <w:jc w:val="both"/>
        <w:rPr>
          <w:rFonts w:hint="eastAsia" w:asciiTheme="minorHAnsi" w:hAnsiTheme="minorHAnsi" w:eastAsiaTheme="minorEastAsia" w:cstheme="minorBidi"/>
          <w:kern w:val="2"/>
          <w:sz w:val="21"/>
          <w:szCs w:val="24"/>
          <w:lang w:val="en-US" w:eastAsia="zh-CN" w:bidi="ar-SA"/>
        </w:rPr>
      </w:pPr>
    </w:p>
    <w:p w14:paraId="70885226">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解读：</w:t>
      </w:r>
    </w:p>
    <w:p w14:paraId="71EFE7FB">
      <w:pPr>
        <w:widowControl w:val="0"/>
        <w:ind w:leftChars="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中等强度组：效应量点估计值增大（0.54），但置信区间变得极宽且包含0，意味着效应极不确定且不显著。这反映了该组内高异质性（τ²=0.256）在随机效应模型下带来的巨大不确定性。</w:t>
      </w:r>
    </w:p>
    <w:p w14:paraId="7093CCB2">
      <w:pPr>
        <w:widowControl w:val="0"/>
        <w:ind w:leftChars="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中等至高强度组：结果与固定效应模型非常接近，效应显著。</w:t>
      </w:r>
    </w:p>
    <w:p w14:paraId="3C8BD398">
      <w:pPr>
        <w:widowControl w:val="0"/>
        <w:ind w:leftChars="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低强度组：结果不变，不显著。</w:t>
      </w:r>
    </w:p>
    <w:p w14:paraId="27353B2D">
      <w:pPr>
        <w:keepNext/>
        <w:keepLines/>
        <w:widowControl w:val="0"/>
        <w:spacing w:before="280" w:beforeLines="0" w:beforeAutospacing="0" w:after="290" w:afterLines="0" w:afterAutospacing="0" w:line="372" w:lineRule="auto"/>
        <w:jc w:val="both"/>
        <w:outlineLvl w:val="3"/>
        <w:rPr>
          <w:rFonts w:hint="eastAsia" w:ascii="Arial" w:hAnsi="Arial" w:eastAsia="黑体" w:cstheme="minorBidi"/>
          <w:b/>
          <w:kern w:val="2"/>
          <w:sz w:val="28"/>
          <w:szCs w:val="24"/>
          <w:lang w:val="en-US" w:eastAsia="zh-CN" w:bidi="ar-SA"/>
        </w:rPr>
      </w:pPr>
      <w:r>
        <w:rPr>
          <w:rFonts w:hint="eastAsia" w:ascii="Arial" w:hAnsi="Arial" w:eastAsia="黑体" w:cstheme="minorBidi"/>
          <w:b/>
          <w:kern w:val="2"/>
          <w:sz w:val="28"/>
          <w:szCs w:val="24"/>
          <w:lang w:val="en-US" w:eastAsia="zh-CN" w:bidi="ar-SA"/>
        </w:rPr>
        <w:t xml:space="preserve"> 3.4 随机效应模型下的亚组差异检验</w:t>
      </w:r>
    </w:p>
    <w:p w14:paraId="1D2C1F75">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w:t>
      </w:r>
    </w:p>
    <w:p w14:paraId="0E8738CC">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Between groups  Q=0.35, p=0.8375</w:t>
      </w:r>
    </w:p>
    <w:p w14:paraId="4CDE22CD">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w:t>
      </w:r>
    </w:p>
    <w:p w14:paraId="281646FC">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解读：</w:t>
      </w:r>
    </w:p>
    <w:p w14:paraId="0BF66145">
      <w:pPr>
        <w:widowControl w:val="0"/>
        <w:ind w:leftChars="0" w:firstLine="420" w:firstLine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亚组间差异检验 (Between groups): p=0.8375 &gt; 0.05。在随机效应模型下，不同强度亚组间的效应量差异同样完全没有统计学显著性。</w:t>
      </w:r>
    </w:p>
    <w:p w14:paraId="019E6AFD">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w:t>
      </w:r>
    </w:p>
    <w:p w14:paraId="032578F8">
      <w:pPr>
        <w:keepNext/>
        <w:keepLines/>
        <w:widowControl w:val="0"/>
        <w:spacing w:before="260" w:beforeLines="0" w:beforeAutospacing="0" w:after="260" w:afterLines="0" w:afterAutospacing="0" w:line="413" w:lineRule="auto"/>
        <w:jc w:val="both"/>
        <w:outlineLvl w:val="2"/>
        <w:rPr>
          <w:rFonts w:hint="eastAsia" w:asciiTheme="minorHAnsi" w:hAnsiTheme="minorHAnsi" w:eastAsiaTheme="minorEastAsia" w:cstheme="minorBidi"/>
          <w:b/>
          <w:kern w:val="2"/>
          <w:sz w:val="32"/>
          <w:szCs w:val="24"/>
          <w:lang w:val="en-US" w:eastAsia="zh-CN" w:bidi="ar-SA"/>
        </w:rPr>
      </w:pPr>
      <w:r>
        <w:rPr>
          <w:rFonts w:hint="eastAsia" w:asciiTheme="minorHAnsi" w:hAnsiTheme="minorHAnsi" w:eastAsiaTheme="minorEastAsia" w:cstheme="minorBidi"/>
          <w:b/>
          <w:kern w:val="2"/>
          <w:sz w:val="32"/>
          <w:szCs w:val="24"/>
          <w:lang w:val="en-US" w:eastAsia="zh-CN" w:bidi="ar-SA"/>
        </w:rPr>
        <w:t xml:space="preserve"> 总结与综合解读</w:t>
      </w:r>
    </w:p>
    <w:p w14:paraId="6328BFA6">
      <w:pPr>
        <w:ind w:leftChars="0"/>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1.  总体结论：</w:t>
      </w:r>
      <w:r>
        <w:rPr>
          <w:rFonts w:hint="eastAsia" w:asciiTheme="minorHAnsi" w:hAnsiTheme="minorHAnsi" w:eastAsiaTheme="minorEastAsia" w:cstheme="minorBidi"/>
          <w:b/>
          <w:kern w:val="2"/>
          <w:sz w:val="21"/>
          <w:szCs w:val="24"/>
          <w:lang w:val="en-US" w:eastAsia="zh-CN" w:bidi="ar-SA"/>
        </w:rPr>
        <w:t>在这9项相对同质的研究中，该干预措施显示出一致且显著的小到中度正效应（SMD≈0.35-0.36）。总体异质性不显著。</w:t>
      </w:r>
    </w:p>
    <w:p w14:paraId="60FA6A85">
      <w:pPr>
        <w:widowControl w:val="0"/>
        <w:ind w:left="0" w:leftChars="0" w:firstLine="0" w:firstLine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2.  亚组分析的发现：</w:t>
      </w:r>
    </w:p>
    <w:p w14:paraId="4BE120EC">
      <w:pPr>
        <w:widowControl w:val="0"/>
        <w:ind w:leftChars="0" w:firstLine="400" w:firstLineChars="200"/>
        <w:jc w:val="both"/>
        <w:rPr>
          <w:rFonts w:hint="eastAsia" w:asciiTheme="minorHAnsi" w:hAnsiTheme="minorHAnsi" w:eastAsiaTheme="minorEastAsia" w:cstheme="minorBidi"/>
          <w:b/>
          <w:kern w:val="2"/>
          <w:sz w:val="21"/>
          <w:szCs w:val="24"/>
          <w:lang w:val="en-US" w:eastAsia="zh-CN" w:bidi="ar-SA"/>
        </w:rPr>
      </w:pPr>
      <w:r>
        <w:rPr>
          <w:rFonts w:hint="eastAsia"/>
        </w:rPr>
        <w:t xml:space="preserve">   三个强度亚组的效应量点估计值呈现一个微弱的梯度（低强度0.31 → 中等/中高强度0.35-0.36 → 中等强度随机模型0.54），但差异极小。</w:t>
      </w:r>
    </w:p>
    <w:p w14:paraId="6D8A52BC">
      <w:pPr>
        <w:widowControl w:val="0"/>
        <w:ind w:leftChars="0" w:firstLine="400" w:firstLineChars="200"/>
        <w:jc w:val="both"/>
        <w:rPr>
          <w:rFonts w:hint="eastAsia" w:asciiTheme="minorHAnsi" w:hAnsiTheme="minorHAnsi" w:eastAsiaTheme="minorEastAsia" w:cstheme="minorBidi"/>
          <w:b/>
          <w:kern w:val="2"/>
          <w:sz w:val="21"/>
          <w:szCs w:val="24"/>
          <w:lang w:val="en-US" w:eastAsia="zh-CN" w:bidi="ar-SA"/>
        </w:rPr>
      </w:pPr>
      <w:r>
        <w:rPr>
          <w:rFonts w:hint="eastAsia"/>
        </w:rPr>
        <w:t xml:space="preserve">   中等强度组内研究间结果不一致，导致其效应估计在随机模型下非常不确定。</w:t>
      </w:r>
    </w:p>
    <w:p w14:paraId="5C1243ED">
      <w:pPr>
        <w:widowControl w:val="0"/>
        <w:ind w:leftChars="0" w:firstLine="400" w:firstLineChars="200"/>
        <w:jc w:val="both"/>
        <w:rPr>
          <w:rFonts w:hint="eastAsia" w:asciiTheme="minorHAnsi" w:hAnsiTheme="minorHAnsi" w:eastAsiaTheme="minorEastAsia" w:cstheme="minorBidi"/>
          <w:b/>
          <w:kern w:val="2"/>
          <w:sz w:val="21"/>
          <w:szCs w:val="24"/>
          <w:lang w:val="en-US" w:eastAsia="zh-CN" w:bidi="ar-SA"/>
        </w:rPr>
      </w:pPr>
      <w:r>
        <w:rPr>
          <w:rFonts w:hint="eastAsia"/>
        </w:rPr>
        <w:t xml:space="preserve">   低强度组由于研究数量少（仅2项），未能检测到显著效应。</w:t>
      </w:r>
    </w:p>
    <w:p w14:paraId="38D2930E">
      <w:pPr>
        <w:widowControl w:val="0"/>
        <w:ind w:leftChars="0" w:firstLine="400" w:firstLineChars="200"/>
        <w:jc w:val="both"/>
        <w:rPr>
          <w:rFonts w:hint="eastAsia" w:asciiTheme="minorHAnsi" w:hAnsiTheme="minorHAnsi" w:eastAsiaTheme="minorEastAsia" w:cstheme="minorBidi"/>
          <w:b/>
          <w:kern w:val="2"/>
          <w:sz w:val="21"/>
          <w:szCs w:val="24"/>
          <w:lang w:val="en-US" w:eastAsia="zh-CN" w:bidi="ar-SA"/>
        </w:rPr>
      </w:pPr>
      <w:r>
        <w:rPr>
          <w:rFonts w:hint="eastAsia"/>
        </w:rPr>
        <w:t xml:space="preserve">   调节效应检验：无论在固定效应（p=0.956）还是随机效应模型（p=0.838）下，干预强度的调节作用均无任何统计学显著性。三个亚组的效应量在统计上无法区分。</w:t>
      </w:r>
    </w:p>
    <w:p w14:paraId="0F87D5C7">
      <w:pPr>
        <w:ind w:leftChars="0"/>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3.  对研究与实践的启示：</w:t>
      </w:r>
    </w:p>
    <w:p w14:paraId="211E7E0C">
      <w:pPr>
        <w:widowControl w:val="0"/>
        <w:ind w:leftChars="0" w:firstLine="400" w:firstLineChars="200"/>
        <w:jc w:val="both"/>
        <w:rPr>
          <w:rFonts w:hint="eastAsia" w:asciiTheme="minorHAnsi" w:hAnsiTheme="minorHAnsi" w:eastAsiaTheme="minorEastAsia" w:cstheme="minorBidi"/>
          <w:b/>
          <w:kern w:val="2"/>
          <w:sz w:val="21"/>
          <w:szCs w:val="24"/>
          <w:lang w:val="en-US" w:eastAsia="zh-CN" w:bidi="ar-SA"/>
        </w:rPr>
      </w:pPr>
      <w:r>
        <w:rPr>
          <w:rFonts w:hint="eastAsia"/>
        </w:rPr>
        <w:t xml:space="preserve">   核心结论：基于当前这9项研究，没有证据表明干预强度（低、中、中-高）是影响该干预措施效果大小的关键因素。不同强度的干预可能产生相似的效果。</w:t>
      </w:r>
    </w:p>
    <w:p w14:paraId="16AC8B56">
      <w:pPr>
        <w:widowControl w:val="0"/>
        <w:ind w:leftChars="0" w:firstLine="400" w:firstLineChars="200"/>
        <w:jc w:val="both"/>
        <w:rPr>
          <w:rFonts w:hint="eastAsia" w:asciiTheme="minorHAnsi" w:hAnsiTheme="minorHAnsi" w:eastAsiaTheme="minorEastAsia" w:cstheme="minorBidi"/>
          <w:b/>
          <w:kern w:val="2"/>
          <w:sz w:val="21"/>
          <w:szCs w:val="24"/>
          <w:lang w:val="en-US" w:eastAsia="zh-CN" w:bidi="ar-SA"/>
        </w:rPr>
      </w:pPr>
      <w:r>
        <w:rPr>
          <w:rFonts w:hint="eastAsia"/>
        </w:rPr>
        <w:t xml:space="preserve">   实践意义：这为实践提供了一定的灵活性。如果低强度干预更易实施、成本更低或参与者接受度更高，它可能是一个可行的选择（但需注意，低强度组的证据尚不充分，未能证明其显著有效）。效果最稳定的证据来自中等至高强度的干预。</w:t>
      </w:r>
    </w:p>
    <w:p w14:paraId="74561770">
      <w:pPr>
        <w:widowControl w:val="0"/>
        <w:ind w:leftChars="0" w:firstLine="400" w:firstLineChars="200"/>
        <w:jc w:val="both"/>
        <w:rPr>
          <w:rFonts w:hint="eastAsia" w:asciiTheme="minorHAnsi" w:hAnsiTheme="minorHAnsi" w:eastAsiaTheme="minorEastAsia" w:cstheme="minorBidi"/>
          <w:b/>
          <w:kern w:val="2"/>
          <w:sz w:val="21"/>
          <w:szCs w:val="24"/>
          <w:lang w:val="en-US" w:eastAsia="zh-CN" w:bidi="ar-SA"/>
        </w:rPr>
      </w:pPr>
      <w:r>
        <w:rPr>
          <w:rFonts w:hint="eastAsia"/>
        </w:rPr>
        <w:t xml:space="preserve">   研究意义：“中等强度”组内的高异质性值得关注，未来研究需要明确该强度水平下具体哪些因素（如干预的具体形式、内容、环境）导致了效果的差异。</w:t>
      </w:r>
    </w:p>
    <w:p w14:paraId="32864FA5">
      <w:pPr>
        <w:widowControl w:val="0"/>
        <w:ind w:leftChars="0" w:firstLine="400" w:firstLineChars="200"/>
        <w:jc w:val="both"/>
        <w:rPr>
          <w:rFonts w:hint="eastAsia" w:asciiTheme="minorHAnsi" w:hAnsiTheme="minorHAnsi" w:eastAsiaTheme="minorEastAsia" w:cstheme="minorBidi"/>
          <w:b/>
          <w:kern w:val="2"/>
          <w:sz w:val="21"/>
          <w:szCs w:val="24"/>
          <w:lang w:val="en-US" w:eastAsia="zh-CN" w:bidi="ar-SA"/>
        </w:rPr>
      </w:pPr>
      <w:r>
        <w:rPr>
          <w:rFonts w:hint="eastAsia"/>
        </w:rPr>
        <w:t xml:space="preserve">   统一视角：本报告再次印证，在异质性不高的元分析中，即使亚组间存在数值差异，也可能因统计效力不足或真实差异本身很小而无法达到统计显著性。这要求我们在解读时避免过度强调数值趋势，而应优先信赖正式的亚组差异检验结果。</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Cambria Math">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832E36"/>
    <w:multiLevelType w:val="multilevel"/>
    <w:tmpl w:val="8A832E36"/>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
    <w:nsid w:val="8B2B7F9D"/>
    <w:multiLevelType w:val="multilevel"/>
    <w:tmpl w:val="8B2B7F9D"/>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2">
    <w:nsid w:val="95DFFC5D"/>
    <w:multiLevelType w:val="singleLevel"/>
    <w:tmpl w:val="95DFFC5D"/>
    <w:lvl w:ilvl="0" w:tentative="0">
      <w:start w:val="1"/>
      <w:numFmt w:val="bullet"/>
      <w:lvlText w:val=""/>
      <w:lvlJc w:val="left"/>
      <w:pPr>
        <w:ind w:left="720" w:hanging="360"/>
      </w:pPr>
      <w:rPr>
        <w:rFonts w:hint="default" w:ascii="Symbol" w:hAnsi="Symbol" w:cs="Symbol"/>
        <w:sz w:val="20"/>
      </w:rPr>
    </w:lvl>
  </w:abstractNum>
  <w:abstractNum w:abstractNumId="3">
    <w:nsid w:val="9E23BFE6"/>
    <w:multiLevelType w:val="singleLevel"/>
    <w:tmpl w:val="9E23BFE6"/>
    <w:lvl w:ilvl="0" w:tentative="0">
      <w:start w:val="1"/>
      <w:numFmt w:val="bullet"/>
      <w:lvlText w:val=""/>
      <w:lvlJc w:val="left"/>
      <w:pPr>
        <w:ind w:left="720" w:hanging="360"/>
      </w:pPr>
      <w:rPr>
        <w:rFonts w:hint="default" w:ascii="Symbol" w:hAnsi="Symbol" w:cs="Symbol"/>
        <w:sz w:val="20"/>
      </w:rPr>
    </w:lvl>
  </w:abstractNum>
  <w:abstractNum w:abstractNumId="4">
    <w:nsid w:val="9FACBCE5"/>
    <w:multiLevelType w:val="multilevel"/>
    <w:tmpl w:val="9FACBCE5"/>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5">
    <w:nsid w:val="AA5B276D"/>
    <w:multiLevelType w:val="singleLevel"/>
    <w:tmpl w:val="AA5B276D"/>
    <w:lvl w:ilvl="0" w:tentative="0">
      <w:start w:val="1"/>
      <w:numFmt w:val="bullet"/>
      <w:lvlText w:val=""/>
      <w:lvlJc w:val="left"/>
      <w:pPr>
        <w:ind w:left="720" w:hanging="360"/>
      </w:pPr>
      <w:rPr>
        <w:rFonts w:hint="default" w:ascii="Symbol" w:hAnsi="Symbol" w:cs="Symbol"/>
        <w:sz w:val="20"/>
      </w:rPr>
    </w:lvl>
  </w:abstractNum>
  <w:abstractNum w:abstractNumId="6">
    <w:nsid w:val="ACCCEA55"/>
    <w:multiLevelType w:val="multilevel"/>
    <w:tmpl w:val="ACCCEA55"/>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7">
    <w:nsid w:val="B27DCF55"/>
    <w:multiLevelType w:val="multilevel"/>
    <w:tmpl w:val="B27DCF55"/>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8">
    <w:nsid w:val="B998AD1A"/>
    <w:multiLevelType w:val="multilevel"/>
    <w:tmpl w:val="B998AD1A"/>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9">
    <w:nsid w:val="CCE6075B"/>
    <w:multiLevelType w:val="singleLevel"/>
    <w:tmpl w:val="CCE6075B"/>
    <w:lvl w:ilvl="0" w:tentative="0">
      <w:start w:val="1"/>
      <w:numFmt w:val="bullet"/>
      <w:lvlText w:val=""/>
      <w:lvlJc w:val="left"/>
      <w:pPr>
        <w:ind w:left="720" w:hanging="360"/>
      </w:pPr>
      <w:rPr>
        <w:rFonts w:hint="default" w:ascii="Symbol" w:hAnsi="Symbol" w:cs="Symbol"/>
        <w:sz w:val="20"/>
      </w:rPr>
    </w:lvl>
  </w:abstractNum>
  <w:abstractNum w:abstractNumId="10">
    <w:nsid w:val="CFF82089"/>
    <w:multiLevelType w:val="multilevel"/>
    <w:tmpl w:val="CFF82089"/>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1">
    <w:nsid w:val="D980E221"/>
    <w:multiLevelType w:val="singleLevel"/>
    <w:tmpl w:val="D980E221"/>
    <w:lvl w:ilvl="0" w:tentative="0">
      <w:start w:val="1"/>
      <w:numFmt w:val="bullet"/>
      <w:lvlText w:val=""/>
      <w:lvlJc w:val="left"/>
      <w:pPr>
        <w:ind w:left="720" w:hanging="360"/>
      </w:pPr>
      <w:rPr>
        <w:rFonts w:hint="default" w:ascii="Symbol" w:hAnsi="Symbol" w:cs="Symbol"/>
        <w:sz w:val="20"/>
      </w:rPr>
    </w:lvl>
  </w:abstractNum>
  <w:abstractNum w:abstractNumId="12">
    <w:nsid w:val="DAA219F8"/>
    <w:multiLevelType w:val="singleLevel"/>
    <w:tmpl w:val="DAA219F8"/>
    <w:lvl w:ilvl="0" w:tentative="0">
      <w:start w:val="1"/>
      <w:numFmt w:val="bullet"/>
      <w:lvlText w:val=""/>
      <w:lvlJc w:val="left"/>
      <w:pPr>
        <w:ind w:left="720" w:hanging="360"/>
      </w:pPr>
      <w:rPr>
        <w:rFonts w:hint="default" w:ascii="Symbol" w:hAnsi="Symbol" w:cs="Symbol"/>
        <w:sz w:val="20"/>
      </w:rPr>
    </w:lvl>
  </w:abstractNum>
  <w:abstractNum w:abstractNumId="13">
    <w:nsid w:val="DEE2C116"/>
    <w:multiLevelType w:val="multilevel"/>
    <w:tmpl w:val="DEE2C116"/>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14">
    <w:nsid w:val="DFE0F627"/>
    <w:multiLevelType w:val="multilevel"/>
    <w:tmpl w:val="DFE0F627"/>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5">
    <w:nsid w:val="E2B7324B"/>
    <w:multiLevelType w:val="multilevel"/>
    <w:tmpl w:val="E2B7324B"/>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6">
    <w:nsid w:val="E9A870EF"/>
    <w:multiLevelType w:val="multilevel"/>
    <w:tmpl w:val="E9A870EF"/>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7">
    <w:nsid w:val="EF0AC83A"/>
    <w:multiLevelType w:val="multilevel"/>
    <w:tmpl w:val="EF0AC83A"/>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8">
    <w:nsid w:val="F1E005CE"/>
    <w:multiLevelType w:val="multilevel"/>
    <w:tmpl w:val="F1E005CE"/>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9">
    <w:nsid w:val="F55A2C91"/>
    <w:multiLevelType w:val="multilevel"/>
    <w:tmpl w:val="F55A2C91"/>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20">
    <w:nsid w:val="F5853DA9"/>
    <w:multiLevelType w:val="multilevel"/>
    <w:tmpl w:val="F5853DA9"/>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21">
    <w:nsid w:val="001D964F"/>
    <w:multiLevelType w:val="multilevel"/>
    <w:tmpl w:val="001D964F"/>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22">
    <w:nsid w:val="00B970AA"/>
    <w:multiLevelType w:val="singleLevel"/>
    <w:tmpl w:val="00B970AA"/>
    <w:lvl w:ilvl="0" w:tentative="0">
      <w:start w:val="1"/>
      <w:numFmt w:val="bullet"/>
      <w:lvlText w:val=""/>
      <w:lvlJc w:val="left"/>
      <w:pPr>
        <w:ind w:left="720" w:hanging="360"/>
      </w:pPr>
      <w:rPr>
        <w:rFonts w:hint="default" w:ascii="Symbol" w:hAnsi="Symbol" w:cs="Symbol"/>
        <w:sz w:val="20"/>
      </w:rPr>
    </w:lvl>
  </w:abstractNum>
  <w:abstractNum w:abstractNumId="23">
    <w:nsid w:val="062196BB"/>
    <w:multiLevelType w:val="singleLevel"/>
    <w:tmpl w:val="062196BB"/>
    <w:lvl w:ilvl="0" w:tentative="0">
      <w:start w:val="1"/>
      <w:numFmt w:val="bullet"/>
      <w:lvlText w:val=""/>
      <w:lvlJc w:val="left"/>
      <w:pPr>
        <w:ind w:left="720" w:hanging="360"/>
      </w:pPr>
      <w:rPr>
        <w:rFonts w:hint="default" w:ascii="Symbol" w:hAnsi="Symbol" w:cs="Symbol"/>
        <w:sz w:val="20"/>
      </w:rPr>
    </w:lvl>
  </w:abstractNum>
  <w:abstractNum w:abstractNumId="24">
    <w:nsid w:val="07FE34C1"/>
    <w:multiLevelType w:val="multilevel"/>
    <w:tmpl w:val="07FE34C1"/>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25">
    <w:nsid w:val="173A9D59"/>
    <w:multiLevelType w:val="multilevel"/>
    <w:tmpl w:val="173A9D59"/>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26">
    <w:nsid w:val="1DBC169E"/>
    <w:multiLevelType w:val="multilevel"/>
    <w:tmpl w:val="1DBC169E"/>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27">
    <w:nsid w:val="2C0206C1"/>
    <w:multiLevelType w:val="singleLevel"/>
    <w:tmpl w:val="2C0206C1"/>
    <w:lvl w:ilvl="0" w:tentative="0">
      <w:start w:val="1"/>
      <w:numFmt w:val="bullet"/>
      <w:lvlText w:val=""/>
      <w:lvlJc w:val="left"/>
      <w:pPr>
        <w:ind w:left="720" w:hanging="360"/>
      </w:pPr>
      <w:rPr>
        <w:rFonts w:hint="default" w:ascii="Symbol" w:hAnsi="Symbol" w:cs="Symbol"/>
        <w:sz w:val="20"/>
      </w:rPr>
    </w:lvl>
  </w:abstractNum>
  <w:abstractNum w:abstractNumId="28">
    <w:nsid w:val="2E6566AF"/>
    <w:multiLevelType w:val="singleLevel"/>
    <w:tmpl w:val="2E6566AF"/>
    <w:lvl w:ilvl="0" w:tentative="0">
      <w:start w:val="1"/>
      <w:numFmt w:val="bullet"/>
      <w:lvlText w:val=""/>
      <w:lvlJc w:val="left"/>
      <w:pPr>
        <w:ind w:left="720" w:hanging="360"/>
      </w:pPr>
      <w:rPr>
        <w:rFonts w:hint="default" w:ascii="Symbol" w:hAnsi="Symbol" w:cs="Symbol"/>
        <w:sz w:val="20"/>
      </w:rPr>
    </w:lvl>
  </w:abstractNum>
  <w:abstractNum w:abstractNumId="29">
    <w:nsid w:val="412116D0"/>
    <w:multiLevelType w:val="multilevel"/>
    <w:tmpl w:val="412116D0"/>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30">
    <w:nsid w:val="421498AD"/>
    <w:multiLevelType w:val="multilevel"/>
    <w:tmpl w:val="421498AD"/>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31">
    <w:nsid w:val="4644A094"/>
    <w:multiLevelType w:val="multilevel"/>
    <w:tmpl w:val="4644A094"/>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32">
    <w:nsid w:val="53200D11"/>
    <w:multiLevelType w:val="multilevel"/>
    <w:tmpl w:val="53200D11"/>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33">
    <w:nsid w:val="5365BFB8"/>
    <w:multiLevelType w:val="multilevel"/>
    <w:tmpl w:val="5365BFB8"/>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34">
    <w:nsid w:val="6A817927"/>
    <w:multiLevelType w:val="multilevel"/>
    <w:tmpl w:val="6A817927"/>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35">
    <w:nsid w:val="6BF43EDC"/>
    <w:multiLevelType w:val="multilevel"/>
    <w:tmpl w:val="6BF43EDC"/>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36">
    <w:nsid w:val="6EA32546"/>
    <w:multiLevelType w:val="multilevel"/>
    <w:tmpl w:val="6EA32546"/>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37">
    <w:nsid w:val="6F1394B7"/>
    <w:multiLevelType w:val="multilevel"/>
    <w:tmpl w:val="6F1394B7"/>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38">
    <w:nsid w:val="6F189F26"/>
    <w:multiLevelType w:val="multilevel"/>
    <w:tmpl w:val="6F189F26"/>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39">
    <w:nsid w:val="74AB59C3"/>
    <w:multiLevelType w:val="singleLevel"/>
    <w:tmpl w:val="74AB59C3"/>
    <w:lvl w:ilvl="0" w:tentative="0">
      <w:start w:val="1"/>
      <w:numFmt w:val="bullet"/>
      <w:lvlText w:val=""/>
      <w:lvlJc w:val="left"/>
      <w:pPr>
        <w:ind w:left="720" w:hanging="360"/>
      </w:pPr>
      <w:rPr>
        <w:rFonts w:hint="default" w:ascii="Symbol" w:hAnsi="Symbol" w:cs="Symbol"/>
        <w:sz w:val="20"/>
      </w:rPr>
    </w:lvl>
  </w:abstractNum>
  <w:abstractNum w:abstractNumId="40">
    <w:nsid w:val="772CAF6E"/>
    <w:multiLevelType w:val="multilevel"/>
    <w:tmpl w:val="772CAF6E"/>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41">
    <w:nsid w:val="7A04D6D7"/>
    <w:multiLevelType w:val="singleLevel"/>
    <w:tmpl w:val="7A04D6D7"/>
    <w:lvl w:ilvl="0" w:tentative="0">
      <w:start w:val="1"/>
      <w:numFmt w:val="bullet"/>
      <w:lvlText w:val=""/>
      <w:lvlJc w:val="left"/>
      <w:pPr>
        <w:ind w:left="720" w:hanging="360"/>
      </w:pPr>
      <w:rPr>
        <w:rFonts w:hint="default" w:ascii="Symbol" w:hAnsi="Symbol" w:cs="Symbol"/>
        <w:sz w:val="20"/>
      </w:rPr>
    </w:lvl>
  </w:abstractNum>
  <w:num w:numId="1">
    <w:abstractNumId w:val="25"/>
  </w:num>
  <w:num w:numId="2">
    <w:abstractNumId w:val="30"/>
  </w:num>
  <w:num w:numId="3">
    <w:abstractNumId w:val="15"/>
  </w:num>
  <w:num w:numId="4">
    <w:abstractNumId w:val="10"/>
  </w:num>
  <w:num w:numId="5">
    <w:abstractNumId w:val="40"/>
  </w:num>
  <w:num w:numId="6">
    <w:abstractNumId w:val="4"/>
  </w:num>
  <w:num w:numId="7">
    <w:abstractNumId w:val="32"/>
  </w:num>
  <w:num w:numId="8">
    <w:abstractNumId w:val="3"/>
  </w:num>
  <w:num w:numId="9">
    <w:abstractNumId w:val="12"/>
  </w:num>
  <w:num w:numId="10">
    <w:abstractNumId w:val="9"/>
  </w:num>
  <w:num w:numId="11">
    <w:abstractNumId w:val="6"/>
  </w:num>
  <w:num w:numId="12">
    <w:abstractNumId w:val="24"/>
  </w:num>
  <w:num w:numId="13">
    <w:abstractNumId w:val="17"/>
  </w:num>
  <w:num w:numId="14">
    <w:abstractNumId w:val="35"/>
  </w:num>
  <w:num w:numId="15">
    <w:abstractNumId w:val="8"/>
  </w:num>
  <w:num w:numId="16">
    <w:abstractNumId w:val="33"/>
  </w:num>
  <w:num w:numId="17">
    <w:abstractNumId w:val="2"/>
  </w:num>
  <w:num w:numId="18">
    <w:abstractNumId w:val="23"/>
  </w:num>
  <w:num w:numId="19">
    <w:abstractNumId w:val="22"/>
  </w:num>
  <w:num w:numId="20">
    <w:abstractNumId w:val="1"/>
  </w:num>
  <w:num w:numId="21">
    <w:abstractNumId w:val="37"/>
  </w:num>
  <w:num w:numId="22">
    <w:abstractNumId w:val="14"/>
  </w:num>
  <w:num w:numId="23">
    <w:abstractNumId w:val="16"/>
  </w:num>
  <w:num w:numId="24">
    <w:abstractNumId w:val="26"/>
  </w:num>
  <w:num w:numId="25">
    <w:abstractNumId w:val="18"/>
  </w:num>
  <w:num w:numId="26">
    <w:abstractNumId w:val="27"/>
  </w:num>
  <w:num w:numId="27">
    <w:abstractNumId w:val="11"/>
  </w:num>
  <w:num w:numId="28">
    <w:abstractNumId w:val="5"/>
  </w:num>
  <w:num w:numId="29">
    <w:abstractNumId w:val="31"/>
  </w:num>
  <w:num w:numId="30">
    <w:abstractNumId w:val="29"/>
  </w:num>
  <w:num w:numId="31">
    <w:abstractNumId w:val="38"/>
  </w:num>
  <w:num w:numId="32">
    <w:abstractNumId w:val="0"/>
  </w:num>
  <w:num w:numId="33">
    <w:abstractNumId w:val="13"/>
  </w:num>
  <w:num w:numId="34">
    <w:abstractNumId w:val="21"/>
  </w:num>
  <w:num w:numId="35">
    <w:abstractNumId w:val="28"/>
  </w:num>
  <w:num w:numId="36">
    <w:abstractNumId w:val="39"/>
  </w:num>
  <w:num w:numId="37">
    <w:abstractNumId w:val="41"/>
  </w:num>
  <w:num w:numId="38">
    <w:abstractNumId w:val="36"/>
  </w:num>
  <w:num w:numId="39">
    <w:abstractNumId w:val="19"/>
  </w:num>
  <w:num w:numId="40">
    <w:abstractNumId w:val="34"/>
  </w:num>
  <w:num w:numId="41">
    <w:abstractNumId w:val="20"/>
  </w:num>
  <w:num w:numId="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570EFF"/>
    <w:rsid w:val="4A570E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3">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211</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2026-01-18T06:47:00Z</dcterms:created>
  <dc:creator>回忆与思考</dc:creator>
  <cp:lastModifiedBy>回忆与思考</cp:lastModifiedBy>
  <dcterms:modified xsi:type="dcterms:W3CDTF">2026-01-18T14:08:15Z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673C351EE07F44E7BE45F62E31AB9FA0_11</vt:lpwstr>
  </property>
  <property fmtid="{D5CDD505-2E9C-101B-9397-08002B2CF9AE}" pid="4" name="KSOTemplateDocerSaveRecord">
    <vt:lpwstr>eyJoZGlkIjoiY2EzNGZhODhiYjQ2NzJmMTAyMjFlMzNkODExZjk5MTUiLCJ1c2VySWQiOiIxNjA3NDkxOTE5In0=</vt:lpwstr>
  </property>
</Properties>
</file>