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船舶分类功能阶段说明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555555"/>
          <w:sz w:val="22"/>
        </w:rPr>
        <w:t>基于马六甲海峡 / 新加坡海峡 10 分钟 AIS 采集数据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D78"/>
          <w:sz w:val="32"/>
        </w:rPr>
        <w:t>一、这一步做了什么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本阶段主要完成了船舶分类功能的第一轮真实数据测试。我们先用 AISStream 采集马六甲海峡 / 新加坡海峡附近 10 分钟 AIS 数据，然后把采到的数据送入船舶分类脚本，尝试识别货船、油轮、渔船、其他船舶和未知船舶。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这一步的意义是：系统不再只是看船舶轨迹点，而是开始理解“这是什么类型的船”。后续做异常检测时，不同船型可以使用不同判断标准。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D78"/>
          <w:sz w:val="32"/>
        </w:rPr>
        <w:t>二、当前分类结果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类别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数量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货船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通常对应 AIS 船型码 70-79，是新加坡海峡常见商船类型。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油轮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通常对应 AIS 船型码 80-89，在港口和锚地附近风险关注度较高。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渔船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通常对应 AIS 船型码 30。本次 10 分钟样本中没有识别到渔船。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其他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有船型码，但不属于货船、油轮、渔船三类。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未知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暂时缺少船型静态信息，需要继续采集或人工补全。</w:t>
            </w:r>
          </w:p>
        </w:tc>
      </w:tr>
    </w:tbl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本次一共得到 81 艘船的分类结果，其中已识别出明确类别的船舶 27 艘，未知船舶 54 艘。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D78"/>
          <w:sz w:val="32"/>
        </w:rPr>
        <w:t>三、分类标准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vessel_type = 30：归为渔船。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vessel_type = 70-79：归为货船。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vessel_type = 80-89：归为油轮。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其他 vessel_type：归为其他船舶。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没有 vessel_type，且人工补全表也没有记录：归为未知船舶。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D78"/>
          <w:sz w:val="32"/>
        </w:rPr>
        <w:t>四、为什么还有很多未知船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AIS 位置报文 PositionReport 发送比较频繁，里面通常有经纬度、速度和航向；但是船名、船型、IMO 这些静态信息来自 ShipStaticData，发送频率没有那么高。因此短时间采集时，有些船只有位置数据，没有船型数据。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未知船不是系统失败，而是说明这艘船目前缺少足够的静态信息。后续可以通过采集更长时间，或者用人工补全表根据 MMSI 补充船型。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D78"/>
          <w:sz w:val="32"/>
        </w:rPr>
        <w:t>五、下一步怎么做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继续采集 1 小时 AIS 数据，增加 ShipStaticData 出现的概率。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把未知船舶的 MMSI 放进人工补全表，人工查询船名和船型。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重新运行分类脚本，观察未知船数量是否下降。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把船舶分类结果接入异常检测：货船、油轮、渔船使用不同异常判断规则。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000000"/>
          <w:sz w:val="21"/>
        </w:rPr>
        <w:t>后续在 Demo 页面增加船型筛选，比如只看油轮异常、只看货船异常。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D78"/>
          <w:sz w:val="32"/>
        </w:rPr>
        <w:t>六、可以给导师这样介绍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我们已经完成了船舶分类功能的初步验证。系统可以从实时 AIS 数据中提取船舶静态信息，根据 AIS 船型码自动区分货船、油轮、渔船等类型。对于暂时缺少船型信息的船舶，系统会标记为未知并提示后续人工补全。这个功能后续会作为异常检测的基础，因为不同船型的正常航行行为和异常判断标准是不一样的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