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热力云管理平台项目说明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该系统使用的是开源</w:t>
      </w:r>
      <w:r>
        <w:rPr>
          <w:rFonts w:ascii="Helvetica Neue" w:hAnsi="Helvetica Neue" w:eastAsia="Arial Unicode MS"/>
          <w:rtl w:val="0"/>
        </w:rPr>
        <w:t>vue-admin-template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作为基础框架进行开发，其中使用的</w:t>
      </w:r>
      <w:r>
        <w:rPr>
          <w:rFonts w:ascii="Helvetica Neue" w:hAnsi="Helvetica Neue" w:eastAsia="Arial Unicode MS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部分是</w:t>
      </w:r>
      <w:r>
        <w:rPr>
          <w:rFonts w:ascii="Helvetica Neue" w:hAnsi="Helvetica Neue" w:eastAsia="Arial Unicode MS"/>
          <w:rtl w:val="0"/>
        </w:rPr>
        <w:t>element-ui 2.13.0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目录说明</w:t>
      </w:r>
    </w:p>
    <w:p>
      <w:pPr>
        <w:pStyle w:val="正文"/>
        <w:rPr>
          <w:b w:val="1"/>
          <w:bCs w:val="1"/>
          <w:sz w:val="24"/>
          <w:szCs w:val="24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heatCloud-platform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build        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57d21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67D22"/>
            </w14:solidFill>
          </w14:textFill>
        </w:rPr>
        <w:t>项目打包配置（</w:t>
      </w:r>
      <w:r>
        <w:rPr>
          <w:rFonts w:ascii="Courier New" w:hAnsi="Courier New"/>
          <w:outline w:val="0"/>
          <w:color w:val="357d21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67D22"/>
            </w14:solidFill>
          </w14:textFill>
        </w:rPr>
        <w:t>vue-cli 2.x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57d21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67D22"/>
            </w14:solidFill>
          </w14:textFill>
        </w:rPr>
        <w:t>）</w:t>
      </w:r>
    </w:p>
    <w:p>
      <w:pPr>
        <w:pStyle w:val="默认"/>
        <w:bidi w:val="0"/>
        <w:spacing w:line="288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node_modules 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当前项目所有依赖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config       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008000"/>
          <w:sz w:val="24"/>
          <w:szCs w:val="24"/>
          <w:rtl w:val="0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dev.env.js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开发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7d21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377D22"/>
            </w14:solidFill>
          </w14:textFill>
        </w:rPr>
        <w:t>环境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配置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367d2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D21"/>
            </w14:solidFill>
          </w14:textFill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index.js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7d2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D21"/>
            </w14:solidFill>
          </w14:textFill>
        </w:rPr>
        <w:t>开发环境与生产环境设置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└── </w:t>
      </w:r>
      <w:r>
        <w:rPr>
          <w:rFonts w:ascii="Courier New" w:hAnsi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prod.env.js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生产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7d2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D21"/>
            </w14:solidFill>
          </w14:textFill>
        </w:rPr>
        <w:t>环境配置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src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api     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7d2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D21"/>
            </w14:solidFill>
          </w14:textFill>
        </w:rPr>
        <w:t>目前只存放</w:t>
      </w:r>
      <w:r>
        <w:rPr>
          <w:rFonts w:ascii="Courier New" w:hAnsi="Courier New"/>
          <w:outline w:val="0"/>
          <w:color w:val="367d2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D21"/>
            </w14:solidFill>
          </w14:textFill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7d2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D21"/>
            </w14:solidFill>
          </w14:textFill>
        </w:rPr>
        <w:t>信息相关接口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assets  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静态资源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img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、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、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js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008000"/>
          <w:sz w:val="24"/>
          <w:szCs w:val="24"/>
          <w:rtl w:val="0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components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公共组件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008000"/>
          <w:sz w:val="24"/>
          <w:szCs w:val="24"/>
          <w:rtl w:val="0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|</w:t>
      </w:r>
      <w:r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ab/>
        <w:t xml:space="preserve">├── </w:t>
      </w:r>
      <w:r>
        <w:rPr>
          <w:rFonts w:ascii="Courier New" w:hAnsi="Courier New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Breadcrumb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</w:t>
        <w:tab/>
        <w:tab/>
        <w:t xml:space="preserve">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面包屑组件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367d2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D21"/>
            </w14:solidFill>
          </w14:textFill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|</w:t>
      </w:r>
      <w:r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ab/>
        <w:t xml:space="preserve">├── </w:t>
      </w:r>
      <w:r>
        <w:rPr>
          <w:rFonts w:ascii="Courier New" w:hAnsi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GlobalComponents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7d2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D21"/>
            </w14:solidFill>
          </w14:textFill>
        </w:rPr>
        <w:t>全局通用组件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|</w:t>
      </w:r>
      <w:r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ab/>
        <w:t xml:space="preserve">├── </w:t>
      </w:r>
      <w:r>
        <w:rPr>
          <w:rFonts w:ascii="Courier New" w:hAnsi="Courier New"/>
          <w:sz w:val="24"/>
          <w:szCs w:val="24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Hamburger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</w:t>
        <w:tab/>
        <w:tab/>
        <w:t xml:space="preserve">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菜单栏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7e21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E22"/>
            </w14:solidFill>
          </w14:textFill>
        </w:rPr>
        <w:t>收缩展开图标组件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367d2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D21"/>
            </w14:solidFill>
          </w14:textFill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|</w:t>
      </w:r>
      <w:r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ab/>
        <w:t xml:space="preserve">├── </w:t>
      </w:r>
      <w:r>
        <w:rPr>
          <w:rFonts w:ascii="Courier New" w:hAnsi="Courier New"/>
          <w:sz w:val="24"/>
          <w:szCs w:val="24"/>
          <w:rtl w:val="0"/>
          <w:lang w:val="nl-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ScreenFull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</w:t>
        <w:tab/>
        <w:t xml:space="preserve">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7d2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D21"/>
            </w14:solidFill>
          </w14:textFill>
        </w:rPr>
        <w:t>全屏操作组件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|</w:t>
      </w:r>
      <w:r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ab/>
        <w:t xml:space="preserve">└── </w:t>
      </w:r>
      <w:r>
        <w:rPr>
          <w:rFonts w:ascii="Courier New" w:hAnsi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SvgIcon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</w:t>
        <w:tab/>
        <w:tab/>
        <w:t xml:space="preserve">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urier New" w:hAnsi="Courier New"/>
          <w:outline w:val="0"/>
          <w:color w:val="367e21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E22"/>
            </w14:solidFill>
          </w14:textFill>
        </w:rPr>
        <w:t>SVG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7e21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E22"/>
            </w14:solidFill>
          </w14:textFill>
        </w:rPr>
        <w:t>图标组件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views   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页面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视图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组件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008000"/>
          <w:sz w:val="24"/>
          <w:szCs w:val="24"/>
          <w:rtl w:val="0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App.vue 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根组件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008000"/>
          <w:sz w:val="24"/>
          <w:szCs w:val="24"/>
          <w:rtl w:val="0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styles  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7e21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E22"/>
            </w14:solidFill>
          </w14:textFill>
        </w:rPr>
        <w:t>全局样式类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utils   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7e21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77E22"/>
            </w14:solidFill>
          </w14:textFill>
        </w:rPr>
        <w:t>通用工具类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main.js 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全局脚本文件（项目的入口）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|    |    </w:t>
      </w:r>
      <w:r>
        <w:rPr>
          <w:rFonts w:ascii="Courier New" w:hAnsi="Courier New" w:hint="default"/>
          <w:outline w:val="0"/>
          <w:color w:val="00000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├── </w:t>
      </w:r>
      <w:r>
        <w:rPr>
          <w:rFonts w:ascii="Courier New" w:hAnsi="Courier New"/>
          <w:outline w:val="0"/>
          <w:color w:val="00000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router.js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路由脚本文件（配置路由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链接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与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页面组</w:t>
      </w:r>
      <w:r>
        <w:rPr>
          <w:rFonts w:ascii="Courier New" w:cs="Courier New" w:hAnsi="Courier New" w:eastAsia="Courier New"/>
          <w:outline w:val="0"/>
          <w:color w:val="008000"/>
          <w:sz w:val="24"/>
          <w:szCs w:val="24"/>
          <w:rtl w:val="0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ab/>
        <w:tab/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件的映射关系）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└──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store.js       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仓库脚本文件（</w:t>
      </w:r>
      <w:r>
        <w:rPr>
          <w:rFonts w:ascii="Courier New" w:hAnsi="Courier New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vuex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00"/>
          <w:sz w:val="24"/>
          <w:szCs w:val="24"/>
          <w:rtl w:val="0"/>
          <w:lang w:val="zh-CN" w:eastAsia="zh-CN"/>
          <w14:textOutline w14:w="0" w14:cap="flat">
            <w14:solidFill>
              <w14:srgbClr w14:val="008000"/>
            </w14:solidFill>
            <w14:prstDash w14:val="solid"/>
            <w14:miter w14:lim="400000"/>
          </w14:textOutline>
          <w14:textFill>
            <w14:solidFill>
              <w14:srgbClr w14:val="008000"/>
            </w14:solidFill>
          </w14:textFill>
        </w:rPr>
        <w:t>插件的配置文件，数据仓库）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|    </w:t>
      </w: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├──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README.md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 New" w:hAnsi="Courier New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└    └── </w:t>
      </w:r>
      <w:r>
        <w:rPr>
          <w:rFonts w:ascii="Courier New" w:hAnsi="Courier New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**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配置文件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重要组件说明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上面是项目主要目录说明，下面对</w:t>
      </w:r>
      <w:r>
        <w:rPr>
          <w:rFonts w:ascii="Helvetica Neue" w:hAnsi="Helvetica Neue" w:eastAsia="Arial Unicode MS"/>
          <w:rtl w:val="0"/>
        </w:rPr>
        <w:t>GlobalComponents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文件夹以及</w:t>
      </w:r>
      <w:r>
        <w:rPr>
          <w:rFonts w:ascii="Helvetica Neue" w:hAnsi="Helvetica Neue" w:eastAsia="Arial Unicode MS"/>
          <w:rtl w:val="0"/>
          <w:lang w:val="en-US"/>
        </w:rPr>
        <w:t>views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文件夹中做以说明：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GlobalComponents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文件夹中包含</w:t>
      </w:r>
      <w:r>
        <w:br w:type="textWrapping"/>
      </w:r>
      <w:r>
        <w:rPr>
          <w:rFonts w:ascii="Helvetica Neue" w:hAnsi="Helvetica Neue" w:eastAsia="Arial Unicode MS"/>
          <w:rtl w:val="0"/>
          <w:lang w:val="en-US"/>
        </w:rPr>
        <w:t>CommonContainer.vue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GAddress.vue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GContainer.vue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GHeader.vue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pt-PT"/>
        </w:rPr>
        <w:t>GPagination.vue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GSearch.vue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>GTable.vue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SubContainer.vue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以上全局组件。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b w:val="1"/>
          <w:bCs w:val="1"/>
          <w:rtl w:val="0"/>
          <w:lang w:val="zh-CN" w:eastAsia="zh-CN"/>
        </w:rPr>
        <w:t>CommonContainer.vue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b w:val="1"/>
          <w:bCs w:val="1"/>
          <w:rtl w:val="0"/>
        </w:rPr>
        <w:t>SubContainer.vue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这两个组件是针对屏幕右侧内容区的一个容器组件，这两个组件只接收一个参数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b w:val="1"/>
          <w:bCs w:val="1"/>
          <w:rtl w:val="0"/>
          <w:lang w:val="zh-CN" w:eastAsia="zh-CN"/>
        </w:rPr>
        <w:t xml:space="preserve">bgColor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，不同之处在于两个容器组件的样式有稍微差异，可以通过代码样式部分查看，分别应对不同的使用场景。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zh-CN" w:eastAsia="zh-CN"/>
        </w:rPr>
        <w:t xml:space="preserve">GAddress.vue </w:t>
      </w:r>
    </w:p>
    <w:p>
      <w:pPr>
        <w:pStyle w:val="正文"/>
        <w:rPr>
          <w:b w:val="0"/>
          <w:bCs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全局</w:t>
      </w:r>
      <w:r>
        <w:rPr>
          <w:rFonts w:ascii="Helvetica Neue" w:hAnsi="Helvetica Neue"/>
          <w:b w:val="0"/>
          <w:bCs w:val="0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级联选地区组件，如下图，可以通过不同业务场景传入对应的数据源进行指定逻辑的</w:t>
      </w:r>
      <w:r>
        <w:rPr>
          <w:rFonts w:ascii="Helvetica Neue" w:hAnsi="Helvetica Neue"/>
          <w:b w:val="0"/>
          <w:bCs w:val="0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级地区联选。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具体参数说明详见</w:t>
      </w:r>
      <w:r>
        <w:rPr>
          <w:rFonts w:ascii="Helvetica Neue" w:hAnsi="Helvetica Neue" w:eastAsia="Arial Unicode MS"/>
          <w:rtl w:val="0"/>
          <w:lang w:val="en-US"/>
        </w:rPr>
        <w:t>GAddress.vue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-6858</wp:posOffset>
            </wp:positionH>
            <wp:positionV relativeFrom="line">
              <wp:posOffset>342137</wp:posOffset>
            </wp:positionV>
            <wp:extent cx="6120057" cy="5875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53"/>
                <wp:lineTo x="0" y="2175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875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zh-CN" w:eastAsia="zh-CN"/>
        </w:rPr>
        <w:t>GPagination.vue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全局分页组件，将框架分页组件进行二次封装，通过具体参数显示对应效果，具体参数详见该文件中注释说明。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zh-CN" w:eastAsia="zh-CN"/>
        </w:rPr>
        <w:t>GSearch.vue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全局搜索组件，通过</w:t>
      </w:r>
      <w:r>
        <w:rPr>
          <w:rFonts w:ascii="Helvetica Neue" w:hAnsi="Helvetica Neue" w:eastAsia="Arial Unicode MS"/>
          <w:rtl w:val="0"/>
        </w:rPr>
        <w:t>views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目录下各页面组件文件中</w:t>
      </w:r>
      <w:r>
        <w:rPr>
          <w:rFonts w:ascii="Helvetica Neue" w:hAnsi="Helvetica Neue" w:eastAsia="Arial Unicode MS"/>
          <w:rtl w:val="0"/>
        </w:rPr>
        <w:t>vuex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文件夹下</w:t>
      </w:r>
      <w:r>
        <w:rPr>
          <w:rFonts w:ascii="Helvetica Neue" w:hAnsi="Helvetica Neue" w:eastAsia="Arial Unicode MS"/>
          <w:rtl w:val="0"/>
        </w:rPr>
        <w:t xml:space="preserve">type.js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中设置每个页面所需展示的搜索条件表单项，可自定义显示，抽取成公用组件，通过传入解析对应表单，参数说明详见该文件</w:t>
      </w:r>
      <w:r>
        <w:rPr>
          <w:rFonts w:ascii="Helvetica Neue" w:hAnsi="Helvetica Neue" w:eastAsia="Arial Unicode MS"/>
          <w:rtl w:val="0"/>
        </w:rPr>
        <w:t>props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对应参数注释解释。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zh-CN" w:eastAsia="zh-CN"/>
        </w:rPr>
        <w:t>GTable.vue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全局表格组件，统一封装，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ascii="Helvetica Neue" w:hAnsi="Helvetica Neue" w:eastAsia="Arial Unicode MS"/>
          <w:rtl w:val="0"/>
          <w:lang w:val="en-US"/>
        </w:rPr>
        <w:t>views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目录下各页面组件文件中</w:t>
      </w:r>
      <w:r>
        <w:rPr>
          <w:rFonts w:ascii="Helvetica Neue" w:hAnsi="Helvetica Neue" w:eastAsia="Arial Unicode MS"/>
          <w:rtl w:val="0"/>
          <w:lang w:val="es-ES_tradnl"/>
        </w:rPr>
        <w:t>vuex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文件夹下</w:t>
      </w:r>
      <w:r>
        <w:rPr>
          <w:rFonts w:ascii="Helvetica Neue" w:hAnsi="Helvetica Neue" w:eastAsia="Arial Unicode MS"/>
          <w:rtl w:val="0"/>
          <w:lang w:val="nl-NL"/>
        </w:rPr>
        <w:t xml:space="preserve">type.js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中设置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每个表格所需列，可参照</w:t>
      </w:r>
      <w:r>
        <w:rPr>
          <w:rFonts w:ascii="Helvetica Neue" w:hAnsi="Helvetica Neue" w:eastAsia="Arial Unicode MS"/>
          <w:rtl w:val="0"/>
        </w:rPr>
        <w:t>element-ui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</w:t>
      </w:r>
      <w:r>
        <w:rPr>
          <w:rFonts w:ascii="Helvetica Neue" w:hAnsi="Helvetica Neue" w:eastAsia="Arial Unicode MS"/>
          <w:rtl w:val="0"/>
        </w:rPr>
        <w:t>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组件，同时可以对业务需要的列进行数据转换显示，也可以通过</w:t>
      </w:r>
      <w:r>
        <w:rPr>
          <w:rFonts w:ascii="Helvetica Neue" w:hAnsi="Helvetica Neue" w:eastAsia="Arial Unicode MS"/>
          <w:rtl w:val="0"/>
        </w:rPr>
        <w:t>slot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插槽进行颜色显示等等，自由度较高。具体所需参数查看该文件</w:t>
      </w:r>
      <w:r>
        <w:rPr>
          <w:rFonts w:ascii="Helvetica Neue" w:hAnsi="Helvetica Neue" w:eastAsia="Arial Unicode MS"/>
          <w:rtl w:val="0"/>
        </w:rPr>
        <w:t>props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参数注释。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>views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下页面组件目录说明</w:t>
      </w:r>
    </w:p>
    <w:p>
      <w:pPr>
        <w:pStyle w:val="正文"/>
        <w:rPr>
          <w:b w:val="1"/>
          <w:bCs w:val="1"/>
          <w:sz w:val="24"/>
          <w:szCs w:val="24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每个页面的风格是统一的，可以参照下面对卡片管理的说明进行理解</w:t>
      </w:r>
    </w:p>
    <w:p>
      <w:pPr>
        <w:pStyle w:val="正文"/>
        <w:rPr>
          <w:b w:val="1"/>
          <w:bCs w:val="1"/>
          <w:sz w:val="24"/>
          <w:szCs w:val="24"/>
        </w:rPr>
      </w:pP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cardManagement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卡片管理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vuex-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对应该页面所需</w:t>
      </w:r>
      <w:r>
        <w:rPr>
          <w:rFonts w:ascii="Helvetica Neue" w:hAnsi="Helvetica Neue" w:eastAsia="Arial Unicode MS"/>
          <w:rtl w:val="0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数据设置，包括</w:t>
      </w:r>
      <w:r>
        <w:rPr>
          <w:rFonts w:ascii="Helvetica Neue" w:hAnsi="Helvetica Neue" w:eastAsia="Arial Unicode MS"/>
          <w:rtl w:val="0"/>
          <w:lang w:val="fr-FR"/>
        </w:rPr>
        <w:t>actions.js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</w:rPr>
        <w:t>api.js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  <w:lang w:val="it-IT"/>
        </w:rPr>
        <w:t>getters.js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  <w:lang w:val="fr-FR"/>
        </w:rPr>
        <w:t>mutations.js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</w:rPr>
        <w:t>store.js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</w:rPr>
        <w:t>types.js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store.js</w:t>
      </w:r>
      <w:r>
        <w:rPr>
          <w:rFonts w:ascii="Helvetica Neue" w:hAnsi="Helvetica Neue" w:eastAsia="Arial Unicode MS"/>
          <w:rtl w:val="0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这里只是将</w:t>
      </w:r>
      <w:r>
        <w:rPr>
          <w:rFonts w:ascii="Helvetica Neue" w:hAnsi="Helvetica Neue" w:eastAsia="Arial Unicode MS"/>
          <w:rtl w:val="0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数据进行模块化切割，同时将</w:t>
      </w:r>
      <w:r>
        <w:rPr>
          <w:rFonts w:ascii="Helvetica Neue" w:hAnsi="Helvetica Neue" w:eastAsia="Arial Unicode MS"/>
          <w:rtl w:val="0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</w:rPr>
        <w:t>getter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</w:rPr>
        <w:t>mutation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独立出来，方便管理与维护，通过</w:t>
      </w:r>
      <w:r>
        <w:rPr>
          <w:rFonts w:ascii="Helvetica Neue" w:hAnsi="Helvetica Neue" w:eastAsia="Arial Unicode MS"/>
          <w:rtl w:val="0"/>
        </w:rPr>
        <w:t>namespace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来区分不同模块下的数据源，清晰、方便追溯。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api.js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是每个页面都会对应一个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请求，除通用请求抽出外，每个页面将享有独立的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请求源。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type.js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定义如下图中所示的公共参数，根据不同页面，细节设置可能不同，整体风格是一样的。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1063063</wp:posOffset>
            </wp:positionV>
            <wp:extent cx="5266319" cy="61200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31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zh-TW" w:eastAsia="zh-TW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