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6E24" w14:textId="77777777" w:rsidR="00AE59C0" w:rsidRPr="00AE59C0" w:rsidRDefault="00AE59C0" w:rsidP="00AE59C0">
      <w:pPr>
        <w:pStyle w:val="2"/>
        <w:rPr>
          <w:rFonts w:hint="eastAsia"/>
        </w:rPr>
      </w:pPr>
      <w:r>
        <w:rPr>
          <w:rFonts w:hint="eastAsia"/>
        </w:rPr>
        <w:t>四、核心论文引用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0"/>
        <w:gridCol w:w="2771"/>
        <w:gridCol w:w="2771"/>
      </w:tblGrid>
      <w:tr w:rsidR="00AE59C0" w14:paraId="0F6FE40F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2F81EEAF" w14:textId="591C11B6" w:rsidR="00AE59C0" w:rsidRPr="00AE59C0" w:rsidRDefault="00AE59C0" w:rsidP="00AE59C0">
            <w:pPr>
              <w:pStyle w:val="2"/>
              <w:rPr>
                <w:rFonts w:hint="eastAsia"/>
                <w:b/>
              </w:rPr>
            </w:pPr>
            <w:r w:rsidRPr="00AE59C0">
              <w:rPr>
                <w:rFonts w:hint="eastAsia"/>
                <w:b/>
              </w:rPr>
              <w:t>论文</w:t>
            </w:r>
          </w:p>
        </w:tc>
        <w:tc>
          <w:tcPr>
            <w:tcW w:w="2771" w:type="dxa"/>
          </w:tcPr>
          <w:p w14:paraId="26AE7017" w14:textId="24E05EDE" w:rsidR="00AE59C0" w:rsidRPr="00AE59C0" w:rsidRDefault="00AE59C0" w:rsidP="00AE59C0">
            <w:pPr>
              <w:pStyle w:val="2"/>
              <w:rPr>
                <w:rFonts w:hint="eastAsia"/>
                <w:b/>
              </w:rPr>
            </w:pPr>
            <w:r w:rsidRPr="00AE59C0">
              <w:rPr>
                <w:rFonts w:hint="eastAsia"/>
                <w:b/>
              </w:rPr>
              <w:t>作者/年份</w:t>
            </w:r>
          </w:p>
        </w:tc>
        <w:tc>
          <w:tcPr>
            <w:tcW w:w="2771" w:type="dxa"/>
          </w:tcPr>
          <w:p w14:paraId="0D0EE4E5" w14:textId="4EA425C4" w:rsidR="00AE59C0" w:rsidRPr="00AE59C0" w:rsidRDefault="00AE59C0" w:rsidP="00AE59C0">
            <w:pPr>
              <w:pStyle w:val="2"/>
              <w:rPr>
                <w:rFonts w:hint="eastAsia"/>
                <w:b/>
              </w:rPr>
            </w:pPr>
            <w:r w:rsidRPr="00AE59C0">
              <w:rPr>
                <w:rFonts w:hint="eastAsia"/>
                <w:b/>
              </w:rPr>
              <w:t>核心贡献</w:t>
            </w:r>
          </w:p>
        </w:tc>
      </w:tr>
      <w:tr w:rsidR="00AE59C0" w14:paraId="1D30DF65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528CD622" w14:textId="0A49B61C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MASPOB</w:t>
            </w:r>
          </w:p>
        </w:tc>
        <w:tc>
          <w:tcPr>
            <w:tcW w:w="2771" w:type="dxa"/>
          </w:tcPr>
          <w:p w14:paraId="7FFFC983" w14:textId="48DC04D9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Hong et al. 2026</w:t>
            </w:r>
          </w:p>
        </w:tc>
        <w:tc>
          <w:tcPr>
            <w:tcW w:w="2771" w:type="dxa"/>
          </w:tcPr>
          <w:p w14:paraId="12E2ADC3" w14:textId="3BB2C6E8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Bandit+GNN优化MAS中Prompt，无标注黑盒优化</w:t>
            </w:r>
          </w:p>
        </w:tc>
      </w:tr>
      <w:tr w:rsidR="00AE59C0" w14:paraId="01D0A130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76F6D917" w14:textId="54859676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GCN</w:t>
            </w:r>
          </w:p>
        </w:tc>
        <w:tc>
          <w:tcPr>
            <w:tcW w:w="2771" w:type="dxa"/>
          </w:tcPr>
          <w:p w14:paraId="76F3386B" w14:textId="23EA0117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Kipf &amp; Welling 2017</w:t>
            </w:r>
          </w:p>
        </w:tc>
        <w:tc>
          <w:tcPr>
            <w:tcW w:w="2771" w:type="dxa"/>
          </w:tcPr>
          <w:p w14:paraId="6BC864D1" w14:textId="63388920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谱域图卷积，半监督节点分类</w:t>
            </w:r>
          </w:p>
        </w:tc>
      </w:tr>
      <w:tr w:rsidR="00AE59C0" w14:paraId="4C6A78EF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3BC45A45" w14:textId="0AF16C31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GAT</w:t>
            </w:r>
          </w:p>
        </w:tc>
        <w:tc>
          <w:tcPr>
            <w:tcW w:w="2771" w:type="dxa"/>
          </w:tcPr>
          <w:p w14:paraId="76C7ECDF" w14:textId="6AD045ED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Velickovic et al. 2018</w:t>
            </w:r>
          </w:p>
        </w:tc>
        <w:tc>
          <w:tcPr>
            <w:tcW w:w="2771" w:type="dxa"/>
          </w:tcPr>
          <w:p w14:paraId="6ED715C1" w14:textId="531782CB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注意力机制在图上的应用</w:t>
            </w:r>
          </w:p>
        </w:tc>
      </w:tr>
      <w:tr w:rsidR="00AE59C0" w14:paraId="4534C0AA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2BAE515A" w14:textId="48017C96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GraphSAGE</w:t>
            </w:r>
          </w:p>
        </w:tc>
        <w:tc>
          <w:tcPr>
            <w:tcW w:w="2771" w:type="dxa"/>
          </w:tcPr>
          <w:p w14:paraId="5973AC15" w14:textId="7C157455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Hamilton et al. 2017</w:t>
            </w:r>
          </w:p>
        </w:tc>
        <w:tc>
          <w:tcPr>
            <w:tcW w:w="2771" w:type="dxa"/>
          </w:tcPr>
          <w:p w14:paraId="459D78EC" w14:textId="5E1CEC05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归纳式图表示，采样邻居聚合</w:t>
            </w:r>
          </w:p>
        </w:tc>
      </w:tr>
      <w:tr w:rsidR="00AE59C0" w14:paraId="3CCE8048" w14:textId="77777777" w:rsidTr="00AE59C0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14:paraId="13D005D0" w14:textId="1697617F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GIN</w:t>
            </w:r>
          </w:p>
        </w:tc>
        <w:tc>
          <w:tcPr>
            <w:tcW w:w="2771" w:type="dxa"/>
          </w:tcPr>
          <w:p w14:paraId="2E7BBE0D" w14:textId="48840B45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Xu et al. 2019</w:t>
            </w:r>
          </w:p>
        </w:tc>
        <w:tc>
          <w:tcPr>
            <w:tcW w:w="2771" w:type="dxa"/>
          </w:tcPr>
          <w:p w14:paraId="5C36C91F" w14:textId="0CB13082" w:rsidR="00AE59C0" w:rsidRDefault="00AE59C0" w:rsidP="00AE59C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图同构网络，最大化图表达能力</w:t>
            </w:r>
          </w:p>
        </w:tc>
      </w:tr>
    </w:tbl>
    <w:p w14:paraId="5CB44F80" w14:textId="0C5AC41C" w:rsidR="00AE59C0" w:rsidRPr="00AE59C0" w:rsidRDefault="00AE59C0" w:rsidP="00AE59C0">
      <w:pPr>
        <w:ind w:left="567"/>
        <w:rPr>
          <w:rFonts w:hint="eastAsia"/>
          <w:sz w:val="22"/>
        </w:rPr>
      </w:pPr>
      <w:r w:rsidRPr="00AE59C0">
        <w:rPr>
          <w:rFonts w:asciiTheme="majorHAnsi" w:eastAsiaTheme="majorEastAsia" w:hAnsiTheme="majorHAnsi" w:cstheme="majorBidi" w:hint="eastAsia"/>
          <w:color w:val="0F4761" w:themeColor="accent1" w:themeShade="BF"/>
          <w:sz w:val="22"/>
          <w:szCs w:val="40"/>
        </w:rPr>
        <w:t>·  Prompt优化综述: Zhou et al., Large Language Models Are Human-Level Prompt Engineers (2022)</w:t>
      </w:r>
    </w:p>
    <w:sectPr w:rsidR="00AE59C0" w:rsidRPr="00AE59C0" w:rsidSect="00AE59C0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C0"/>
    <w:rsid w:val="00625CED"/>
    <w:rsid w:val="00753AF2"/>
    <w:rsid w:val="00783766"/>
    <w:rsid w:val="00816BCD"/>
    <w:rsid w:val="009D1D27"/>
    <w:rsid w:val="00AE59C0"/>
    <w:rsid w:val="00BA4B53"/>
    <w:rsid w:val="00F8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CBC3"/>
  <w15:chartTrackingRefBased/>
  <w15:docId w15:val="{FDB26D9E-7ED8-4843-B2CF-3B75D556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5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5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9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9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9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9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9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5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w</dc:creator>
  <cp:keywords/>
  <dc:description/>
  <cp:lastModifiedBy>hy w</cp:lastModifiedBy>
  <cp:revision>1</cp:revision>
  <dcterms:created xsi:type="dcterms:W3CDTF">2026-03-26T10:53:00Z</dcterms:created>
  <dcterms:modified xsi:type="dcterms:W3CDTF">2026-03-26T10:53:00Z</dcterms:modified>
</cp:coreProperties>
</file>