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 w:cs="Microsoft YaHei"/>
          <w:b/>
          <w:color w:val="4D5A64"/>
          <w:sz w:val="26"/>
        </w:rPr>
        <w:t>PBL 实践课程项目报告</w:t>
      </w:r>
    </w:p>
    <w:p>
      <w:pPr>
        <w:pStyle w:val="Title"/>
        <w:spacing w:before="144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2"/>
        </w:rPr>
        <w:t>基于金融文本与行情融合的A股短期风险预警系统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30"/>
        </w:rPr>
        <w:t>项目报告</w:t>
      </w:r>
    </w:p>
    <w:p>
      <w:pPr>
        <w:spacing w:before="1880"/>
        <w:jc w:val="center"/>
      </w:pPr>
      <w:r>
        <w:rPr>
          <w:rFonts w:ascii="Microsoft YaHei" w:hAnsi="Microsoft YaHei" w:eastAsia="Microsoft YaHei" w:cs="Microsoft YaHei"/>
          <w:b w:val="0"/>
          <w:color w:val="19222B"/>
          <w:sz w:val="23"/>
        </w:rPr>
        <w:t>学生姓名    卿剑峰</w:t>
        <w:br/>
        <w:t>学号        2024402011414</w:t>
        <w:br/>
        <w:t>课程名称    PBL实践</w:t>
        <w:br/>
        <w:t>指导教师    李玉堂</w:t>
        <w:br/>
        <w:t>完成日期    2026年10月20日</w:t>
        <w:br/>
      </w:r>
      <w:r>
        <w:rPr>
          <w:rFonts w:ascii="Microsoft YaHei" w:hAnsi="Microsoft YaHei" w:eastAsia="Microsoft YaHei" w:cs="Microsoft YaHei"/>
          <w:b w:val="0"/>
          <w:color w:val="19222B"/>
          <w:sz w:val="23"/>
        </w:rPr>
      </w:r>
      <w:r>
        <w:rPr>
          <w:rFonts w:ascii="Microsoft YaHei" w:hAnsi="Microsoft YaHei" w:eastAsia="Microsoft YaHei" w:cs="Microsoft YaHei"/>
          <w:b w:val="0"/>
          <w:color w:val="19222B"/>
          <w:sz w:val="23"/>
        </w:rPr>
      </w:r>
      <w:r>
        <w:rPr>
          <w:rFonts w:ascii="Microsoft YaHei" w:hAnsi="Microsoft YaHei" w:eastAsia="Microsoft YaHei" w:cs="Microsoft YaHei"/>
          <w:b w:val="0"/>
          <w:color w:val="19222B"/>
          <w:sz w:val="23"/>
        </w:rPr>
      </w:r>
      <w:r>
        <w:rPr>
          <w:rFonts w:ascii="Microsoft YaHei" w:hAnsi="Microsoft YaHei" w:eastAsia="Microsoft YaHei" w:cs="Microsoft YaHei"/>
          <w:b w:val="0"/>
          <w:color w:val="19222B"/>
          <w:sz w:val="23"/>
        </w:rPr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摘要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本项目围绕A股短期下跌风险提示，构建了金融文本情绪识别、历史行情编码、公告特征融合和网页展示组成的本地演示系统。系统以当日收盘后可获得的信息为输入，预测随后三个交易日是否出现相对当日收盘价至少5%的最低收盘价跌幅。五只股票在2023—2025年形成3395个新版有效样本，按时间顺序划分训练、验证和独立测试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中文金融情绪数据用于微调MacBERT，验证集宏平均F1为0.8071；传统TF-IDF＋LinearSVC基线为0.7515。风险实验分别训练20日行情LSTM、公告特征MLP和融合模型。独立测试集有615个样本、22个高风险日；行情模型AP为0.0909、ROC-AUC为0.7689，在验证集确定的阈值下识别15个高风险日，产生102次误报、漏报7次。融合模型AP为0.0800、ROC-AUC为0.7490，均低于行情模型。文本单模型接近随机排序基准；这些结果仅说明流程可复现，尚不能支持可靠的投资预警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系统采用Next.js、FastAPI与SQLite，支持输入六位A股代码按需抓取最新已收盘行情和公告、查看三路模型信号以及保存逐日查询记录。新版对模型分数进行了验证集校准，页面展示的是模型估计概率，不能解释为已证明准确的实际下跌概率；近期新闻只作阅读背景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关键词：股票风险预警；MacBERT；LSTM；公司公告；多模态融合；时间序列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第一章 项目介绍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1.1 背景与研究意义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股票短期波动同时受到价格走势和公开信息影响。只看行情可能错过公司披露的信息，只看文本又容易忽略市场状态。本作业要求把金融文本和个股行情结合，在可复现的时间划分下比较单一信息与融合信息的风险识别效果，并通过系统界面让普通投资者理解结论及其依据。项目的目标是课程实验和风险信息展示，不提供交易建议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1.2 问题定义与边界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对股票s的交易日t，预测时点设为当日收盘后。输入仅包括截至该时点可以获得的20个交易日行情及已公开公告；未来三个交易日的收盘价只用于事后构建标签与评估。若未来三个交易日中的最低收盘价不高于第t日收盘价的95%，记为高风险，否则记为非高风险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历史实验只覆盖宁德时代、比亚迪、东方财富、贵州茅台和平安银行五只A股。最新查询接口可以尝试其他六位A股代码，但模型尚未在其他股票上完成独立回测。新闻页面内容只供阅读，实际进入当前文本模型的是上市公司公告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第二章 理论与技术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2.1 Transformer、BERT与MacBERT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Transformer通过自注意力建模序列中不同位置的联系；BERT采用双向Transformer编码器，先预训练再针对下游任务微调[2][3]。MacBERT是面向中文任务的预训练改进模型[4]。本项目在中文金融短句上微调MacBERT进行负面、中性、正面三分类，并从最后一层[CLS]表示取得768维语义向量，供下游风险模型使用。三类情绪输出和语义向量承担不同作用：前者给出分类信号，后者保留更丰富的文本表示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2.2 时序模型与风险指标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LSTM通过门控记忆历史信息，适合把连续交易日的特征编码为固定长度向量。GRU与时序Transformer也是可选结构，本项目实际训练的是单层LSTM。新版行情输入为20个交易日、每日10维：收盘对数收益率、开高低相对前收盘价的对数比、成交量对数比，以及5日、10日、20日历史波动率、20日最大回撤和相对前20日平均成交量的变化率。历史波动率按对数收益率的样本标准差计算，全部指标只使用预测日及之前的数据。原始行情另保存日期、开高低收、成交量和成交额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2.3 不平衡分类的评价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高风险日约占全体样本5%，准确率容易被大量非高风险日抬高。因此风险实验重点报告平均精确率AP、ROC-AUC、精确率、召回率、F1以及TP、FP、FN。AP汇总精确率—召回率曲线，越高通常越好；在随机排序基准下大致等于正例占比。阈值只决定预警与否，不改变模型排序分数；每个模型的阈值分别在验证集上选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第三章 数据集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3.1 数据来源与适用范围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2693"/>
      </w:tblGrid>
      <w:tr>
        <w:trPr>
          <w:tblHeader/>
        </w:trPr>
        <w:tc>
          <w:tcPr>
            <w:tcW w:type="dxa" w:w="1800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5256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来源与用途</w:t>
            </w:r>
          </w:p>
        </w:tc>
        <w:tc>
          <w:tcPr>
            <w:tcW w:type="dxa" w:w="2693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实际规模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金融情绪短句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Multilingual Financial Sentiment，微调MacBERT[5]</w:t>
            </w:r>
          </w:p>
        </w:tc>
        <w:tc>
          <w:tcPr>
            <w:tcW w:type="dxa" w:w="269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39 829条；中文7 930条</w:t>
            </w:r>
          </w:p>
        </w:tc>
      </w:tr>
      <w:tr>
        <w:tc>
          <w:tcPr>
            <w:tcW w:type="dxa" w:w="1800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A股日行情</w:t>
            </w:r>
          </w:p>
        </w:tc>
        <w:tc>
          <w:tcPr>
            <w:tcW w:type="dxa" w:w="525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AKShare历史前复权行情，构建行情窗口与风险标签[6]</w:t>
            </w:r>
          </w:p>
        </w:tc>
        <w:tc>
          <w:tcPr>
            <w:tcW w:type="dxa" w:w="269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5只股票，2023—2025年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历史公司公告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巨潮资讯公告元数据及PDF正文，经AKShare检索[6][7]</w:t>
            </w:r>
          </w:p>
        </w:tc>
        <w:tc>
          <w:tcPr>
            <w:tcW w:type="dxa" w:w="269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2 071条元数据；1 985条进入样本</w:t>
            </w:r>
          </w:p>
        </w:tc>
      </w:tr>
      <w:tr>
        <w:tc>
          <w:tcPr>
            <w:tcW w:type="dxa" w:w="1800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近期个股新闻</w:t>
            </w:r>
          </w:p>
        </w:tc>
        <w:tc>
          <w:tcPr>
            <w:tcW w:type="dxa" w:w="525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AKShare近期新闻，仅在最新查询页展示[6]</w:t>
            </w:r>
          </w:p>
        </w:tc>
        <w:tc>
          <w:tcPr>
            <w:tcW w:type="dxa" w:w="269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每只通常返回10条近期内容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表3-1 数据来源与用途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原本计划用真实个股新闻覆盖历史训练期，但接口在2023—2025年没有返回可用新闻。作业允许使用上市公司公告，因此历史文本改为带股票代码与发布时间的公告。金融情绪短句只用于情绪分类训练，不能充当带日期的个股事件样本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3.2 清洗、对齐与正文提取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情绪CSV经SHA-256校验后保留中文记录，去除3条重复句子，得到7927条；按标签分层并固定随机种子42，划分6342条训练和1585条验证。公告按公告ID去重、按股票与交易日索引。15:00前发布的公告归入当日预测，15:00后、非交易日和只具日期精度的公告归入下一交易日，以减少未来信息泄漏。2071条公告中有1737条时间只到日期或显示00:00:00，故采取保守规则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每份公告最多下载30 MB、提取前10页并保留最多20000字符，先用pypdf提取，必要时用pdfplumber补救。进入样本的1985份公告中有1921份达到至少100个汉字的可用标准；未达标者保留标题，不把空正文误记为中性情绪。五只股票2023—2025年的公告覆盖683/3635个股票交易日，约18.79%，文本较稀疏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3.3 风险标签、切分与样本分布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标签定义为 yₛ,ₜ = 1{min(Cₛ,ₜ₊₁,Cₛ,ₜ₊₂,Cₛ,ₜ₊₃) / Cₛ,ₜ ≤ 0.95}，其中C为前复权收盘价。先保证输入窗口完整、未来三日标签完整，再按时间划分：2023—2024年训练、2025年上半年验证、2025年下半年测试；跨越切分边界的标签样本排除。标准化均值和标准差只由训练段估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656"/>
        <w:gridCol w:w="1656"/>
        <w:gridCol w:w="1944"/>
        <w:gridCol w:w="1901"/>
      </w:tblGrid>
      <w:tr>
        <w:trPr>
          <w:tblHeader/>
        </w:trPr>
        <w:tc>
          <w:tcPr>
            <w:tcW w:type="dxa" w:w="2592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时间段</w:t>
            </w:r>
          </w:p>
        </w:tc>
        <w:tc>
          <w:tcPr>
            <w:tcW w:type="dxa" w:w="1656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样本数</w:t>
            </w:r>
          </w:p>
        </w:tc>
        <w:tc>
          <w:tcPr>
            <w:tcW w:type="dxa" w:w="1656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高风险</w:t>
            </w:r>
          </w:p>
        </w:tc>
        <w:tc>
          <w:tcPr>
            <w:tcW w:type="dxa" w:w="1944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高风险占比</w:t>
            </w:r>
          </w:p>
        </w:tc>
        <w:tc>
          <w:tcPr>
            <w:tcW w:type="dxa" w:w="1901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有公告日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训练 2023—2024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2 210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119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5.38%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90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424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2592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验证 2025上半年</w:t>
            </w:r>
          </w:p>
        </w:tc>
        <w:tc>
          <w:tcPr>
            <w:tcW w:type="dxa" w:w="165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570</w:t>
            </w:r>
          </w:p>
        </w:tc>
        <w:tc>
          <w:tcPr>
            <w:tcW w:type="dxa" w:w="165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28</w:t>
            </w:r>
          </w:p>
        </w:tc>
        <w:tc>
          <w:tcPr>
            <w:tcW w:type="dxa" w:w="1944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4.91%</w:t>
            </w:r>
          </w:p>
        </w:tc>
        <w:tc>
          <w:tcPr>
            <w:tcW w:type="dxa" w:w="1901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101</w:t>
            </w:r>
          </w:p>
        </w:tc>
      </w:tr>
      <w:t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测试 2025下半年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615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22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3.58%</w:t>
            </w:r>
          </w:p>
        </w:tc>
        <w:tc>
          <w:tcPr>
            <w:tcW w:type="dxa" w:w="190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123</w:t>
            </w:r>
          </w:p>
        </w:tc>
      </w:tr>
      <w:tr>
        <w:tc>
          <w:tcPr>
            <w:tcW w:type="dxa" w:w="2592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合计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65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3 395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65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169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944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4.98%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901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648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表3-2 风险样本的时间划分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新版行情窗口要为每个输入日计算20日指标，因此需要更长的前置历史，五只股票各形成679个有效风险样本。训练集有17个高风险日同时有公告，验证集为6个，测试集为5个。公告与高风险同时出现的样本较少，限制了文本分支与融合增益的稳定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第四章 模型设计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4.1 金融情绪分类与公告表示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MacBERT采用三分类输出层，输入中文金融短句，训练3轮、批量大小4、最大长度128 token；按验证集宏平均F1选最优权重。公告特征抽取时冻结MacBERT，输入“标题＋正文前512字符”，得到768维[CLS]向量和负面、中性、正面三个概率。逐日取公告均值，并附加log(1+公告数)、正面与负面公告数、负面占比、平均与最小情绪分，形成777维文本输入；情绪分定义为P(正面)−P(负面)。无公告日相关特征置零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4.2 行情、公告与融合三组模型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952"/>
        <w:gridCol w:w="4925"/>
      </w:tblGrid>
      <w:tr>
        <w:trPr>
          <w:tblHeader/>
        </w:trPr>
        <w:tc>
          <w:tcPr>
            <w:tcW w:type="dxa" w:w="1872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2952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925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网络结构与输出</w:t>
            </w:r>
          </w:p>
        </w:tc>
      </w:tr>
      <w:tr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行情单模型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20日×10维行情特征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492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LSTM隐藏维32 → 32维MLP → 风险分数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1872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公告单模型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952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预测日777维公告特征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4925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线性层777→32 → 32维MLP → 风险分数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18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融合模型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20日行情＋777维公告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492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LSTM与文本分支各32维，拼接64维 → MLP → 风险分数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表4-1 三组消融模型的实际结构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三组模型共享训练与评估流程，但各自保存独立权重。风险训练采用带正类权重的BCEWithLogitsLoss，权重为训练集负例与正例之比17.5714；优化器为AdamW，学习率0.001、批量64，最多20轮并在验证AP连续5轮无提升后早停。按验证AP选最佳轮次，再在验证集上按F1选择各自阈值。测试集不参与选轮、调阈值和概率校准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各模型先输出0到1之间的排序分数，再用验证集拟合校准映射供界面显示估计概率。训练目标是加权分类，验证集仅有28个正例，且测试集与验证集的正例率不同，因此校准后的数值仍有明显不确定性。预警结论由验证集固定阈值触发，不应把分数或估计概率直接理解为保证发生的跌幅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第五章 实验结果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5.1 情绪分类实验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5861"/>
      </w:tblGrid>
      <w:tr>
        <w:trPr>
          <w:tblHeader/>
        </w:trPr>
        <w:tc>
          <w:tcPr>
            <w:tcW w:type="dxa" w:w="3888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861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验证集结果</w:t>
            </w:r>
          </w:p>
        </w:tc>
      </w:tr>
      <w:tr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传统TF-IDF＋LinearSVC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586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准确率0.7533；宏平均F1 0.7515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3888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MacBERT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5861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准确率0.8025；宏平均F1 0.8071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MacBERT各类F1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586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负面0.8329；中性0.7820；正面0.8065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3888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MacBERT训练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5861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最佳第3轮；第1/3轮验证损失0.5502/0.9650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表5-1 金融短句情绪模型在同一验证集上的结果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MacBERT的最佳宏平均F1为0.8071，高于同一验证集上TF-IDF＋LinearSVC基线的0.7515；对应准确率分别为0.8025和0.7533。不过MacBERT验证损失从第1轮的0.5502升至第3轮的0.9650，分类置信度可能过强。公告域推理中，1974/1985份公告被判为中性；短句验证表现不能直接代表公司公告上的情绪识别效果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5.2 验证集选模与独立测试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1800"/>
        <w:gridCol w:w="2232"/>
        <w:gridCol w:w="1829"/>
        <w:gridCol w:w="2045"/>
      </w:tblGrid>
      <w:tr>
        <w:trPr>
          <w:tblHeader/>
        </w:trPr>
        <w:tc>
          <w:tcPr>
            <w:tcW w:type="dxa" w:w="1843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800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验证AP</w:t>
            </w:r>
          </w:p>
        </w:tc>
        <w:tc>
          <w:tcPr>
            <w:tcW w:type="dxa" w:w="2232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验证ROC-AUC</w:t>
            </w:r>
          </w:p>
        </w:tc>
        <w:tc>
          <w:tcPr>
            <w:tcW w:type="dxa" w:w="1829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最佳轮次</w:t>
            </w:r>
          </w:p>
        </w:tc>
        <w:tc>
          <w:tcPr>
            <w:tcW w:type="dxa" w:w="2045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验证阈值</w:t>
            </w:r>
          </w:p>
        </w:tc>
      </w:tr>
      <w:tr>
        <w:tc>
          <w:tcPr>
            <w:tcW w:type="dxa" w:w="184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行情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0.0586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0.5698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82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1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04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0.5131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184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公告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800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0.0477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232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0.4874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829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045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0.4383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184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融合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0.0561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0.5642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82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04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0.4293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表5-2 验证集的模型选择结果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新版验证集正例占比为0.0491。行情模型AP 0.0586、ROC-AUC 0.5698；融合模型AP 0.0561、ROC-AUC 0.5642，均未在验证集超过行情模型。三个模型固定权重、阈值及校准参数后才进入独立测试。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9"/>
        <w:gridCol w:w="1195"/>
        <w:gridCol w:w="1483"/>
        <w:gridCol w:w="1310"/>
        <w:gridCol w:w="1310"/>
        <w:gridCol w:w="1152"/>
        <w:gridCol w:w="2045"/>
      </w:tblGrid>
      <w:tr>
        <w:trPr>
          <w:tblHeader/>
        </w:trPr>
        <w:tc>
          <w:tcPr>
            <w:tcW w:type="dxa" w:w="1109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195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AP</w:t>
            </w:r>
          </w:p>
        </w:tc>
        <w:tc>
          <w:tcPr>
            <w:tcW w:type="dxa" w:w="1483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ROC-AUC</w:t>
            </w:r>
          </w:p>
        </w:tc>
        <w:tc>
          <w:tcPr>
            <w:tcW w:type="dxa" w:w="1310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精确率</w:t>
            </w:r>
          </w:p>
        </w:tc>
        <w:tc>
          <w:tcPr>
            <w:tcW w:type="dxa" w:w="1310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召回率</w:t>
            </w:r>
          </w:p>
        </w:tc>
        <w:tc>
          <w:tcPr>
            <w:tcW w:type="dxa" w:w="1152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F1</w:t>
            </w:r>
          </w:p>
        </w:tc>
        <w:tc>
          <w:tcPr>
            <w:tcW w:type="dxa" w:w="2045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TP/FP/FN</w:t>
            </w:r>
          </w:p>
        </w:tc>
      </w:tr>
      <w:tr>
        <w:tc>
          <w:tcPr>
            <w:tcW w:type="dxa" w:w="110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</w:pPr>
            <w:r>
              <w:t>行情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19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0.0909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4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0.7689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31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0.1282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31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0.6818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0.2158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04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15/102/7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1109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</w:pPr>
            <w:r>
              <w:t>公告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195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0.0352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48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0.4926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310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0.0356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310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0.8182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152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0.0682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045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18/488/4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110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</w:pPr>
            <w:r>
              <w:t>融合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19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0.0800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4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0.7490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31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0.0848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31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0.6364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0.1497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04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>
              <w:t>14/151/8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表5-3 独立测试集结果，阈值来自验证集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测试集615条中有22条高风险，随机排序的AP参考水平为0.0358。行情模型AP 0.0909、ROC-AUC 0.7689，召回15个正例、漏报7次；融合模型AP 0.0800、ROC-AUC 0.7490，召回14个正例、漏报8次。文本模型AP 0.0352、ROC-AUC 0.4926，与随机排序接近；虽然按验证阈值召回18个正例，却产生488次误报，不能单独用于预警。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5.3 ROC曲线与混淆矩阵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pdf_roc_p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图5-1 新版三组模型在独立测试集上的ROC与精确率召回率曲线，灰线为参考基准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曲线根据data/processed/risk_pdf_test_predictions.csv中的615条样本重新计算，所得AP与独立测试汇总文件一致。ROC衡量排序能力；由于高风险样本很少，还需结合精确率召回率曲线、误报与漏报判断实际用途。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736"/>
        <w:gridCol w:w="2693"/>
      </w:tblGrid>
      <w:tr>
        <w:trPr>
          <w:tblHeader/>
        </w:trPr>
        <w:tc>
          <w:tcPr>
            <w:tcW w:type="dxa" w:w="4320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真实类别 / 预测类别</w:t>
            </w:r>
          </w:p>
        </w:tc>
        <w:tc>
          <w:tcPr>
            <w:tcW w:type="dxa" w:w="2736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预警</w:t>
            </w:r>
          </w:p>
        </w:tc>
        <w:tc>
          <w:tcPr>
            <w:tcW w:type="dxa" w:w="2693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未预警</w:t>
            </w:r>
          </w:p>
        </w:tc>
      </w:tr>
      <w:tr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实际高风险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14（TP）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69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8（FN）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  <w:tr>
        <w:tc>
          <w:tcPr>
            <w:tcW w:type="dxa" w:w="4320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实际非高风险</w:t>
            </w:r>
          </w:p>
        </w:tc>
        <w:tc>
          <w:tcPr>
            <w:tcW w:type="dxa" w:w="2736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151（FP）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69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442（TN）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表5-4 融合模型在验证集固定阈值0.4293下的混淆矩阵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5.4 结果分析与限制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融合模型在测试集召回率为0.6364，仍漏掉8/22个高风险日；165次预警中只有14次命中。行情模型在该测试段各主要分类指标均更好。公告覆盖稀疏、公告域情绪几乎全部中性、正例数量少，是文本分支和融合效果不稳定的可能原因。实验仅覆盖五只股票与一个时间切分；没有跨年份多折检验、公告域人工标注、GRU或时序Transformer对照。测试期贵州茅台和平安银行没有高风险正例，不能单独报告其召回率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第六章 系统实现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6.1 架构与数据流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项目采用分离式本地架构：Next.js负责交互页面，FastAPI的api层校验请求，services层抓取、抽取特征并推理，storage层读写SQLite。data_pipeline独立完成历史采集、时间对齐与特征构建，training独立训练并保存模型权重；在线请求只加载既有权重，不在HTTP过程中重新训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5328"/>
        <w:gridCol w:w="2808"/>
      </w:tblGrid>
      <w:tr>
        <w:trPr>
          <w:tblHeader/>
        </w:trPr>
        <w:tc>
          <w:tcPr>
            <w:tcW w:type="dxa" w:w="1613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328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2808"/>
            <w:shd w:fill="183B5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落地位置</w:t>
            </w:r>
          </w:p>
        </w:tc>
      </w:tr>
      <w:tr>
        <w:tc>
          <w:tcPr>
            <w:tcW w:type="dxa" w:w="161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前端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股票代码输入、风险结论、三路信号、依据与历史结果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frontend/app</w:t>
            </w:r>
          </w:p>
        </w:tc>
      </w:tr>
      <w:tr>
        <w:tc>
          <w:tcPr>
            <w:tcW w:type="dxa" w:w="161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接口层</w:t>
            </w:r>
          </w:p>
        </w:tc>
        <w:tc>
          <w:tcPr>
            <w:tcW w:type="dxa" w:w="5328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输入校验、历史与最新查询响应</w:t>
            </w:r>
          </w:p>
        </w:tc>
        <w:tc>
          <w:tcPr>
            <w:tcW w:type="dxa" w:w="2808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backend/api</w:t>
            </w:r>
          </w:p>
        </w:tc>
      </w:tr>
      <w:tr>
        <w:tc>
          <w:tcPr>
            <w:tcW w:type="dxa" w:w="161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业务层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>
              <w:t>历史与逐日观察、上次成功结果、每次成功查询记录</w:t>
            </w:r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backend/services</w:t>
            </w:r>
          </w:p>
        </w:tc>
      </w:tr>
      <w:tr>
        <w:tc>
          <w:tcPr>
            <w:tcW w:type="dxa" w:w="1613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存储层</w:t>
            </w:r>
          </w:p>
        </w:tc>
        <w:tc>
          <w:tcPr>
            <w:tcW w:type="dxa" w:w="5328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历史回测、上次成功结果、每次成功查询记录</w:t>
            </w:r>
          </w:p>
        </w:tc>
        <w:tc>
          <w:tcPr>
            <w:tcW w:type="dxa" w:w="2808"/>
            <w:shd w:fill="F2F7F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backend/storage；backend/data/app.db</w:t>
            </w:r>
          </w:p>
        </w:tc>
      </w:tr>
      <w:tr>
        <w:tc>
          <w:tcPr>
            <w:tcW w:type="dxa" w:w="161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离线流程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数据构建、训练、评估、日志与权重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9222B"/>
                <w:sz w:val="17"/>
              </w:rPr>
              <w:t>data_pipeline；training；output；models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Microsoft YaHei" w:hAnsi="Microsoft YaHei" w:eastAsia="Microsoft YaHei" w:cs="Microsoft YaHei"/>
          <w:b w:val="0"/>
          <w:color w:val="4D5A64"/>
          <w:sz w:val="18"/>
        </w:rPr>
        <w:t>表6-1 系统模块划分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6.2 功能与运行结果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用户输入六位A股代码并点击查询，系统抓取最近已收盘日的前复权行情与巨潮公告，计算20×10行情特征和777维公告特征，得到行情、公告、融合三路分数与估计概率。页面展示最新行情走势、波动率、最大回撤、成交量变化率、公告情绪、风险等级、数据时间及最近30个有效交易日的逐日分数。近期市场新闻仅供阅读，不参与模型推理。</w:t>
      </w:r>
    </w:p>
    <w:p>
      <w:pPr/>
      <w:r>
        <w:t>成功查询后，结果既覆盖该股票的上次成功结果，又追加到独立查询历史；失败不覆盖旧结果。遗漏的交易日在下次手动刷新时补算，前端等待补算完成并显示进度；同一交易日保留最新结果。新版逐日曲线从启用后首次成功刷新开始，不混入旧版2025年回测数据。2026年10月20日，宁德时代在线推理成功返回20×10与777维输入及三路模型结果，后端8项回归测试通过。图6-1至图6-3为当日新版页面实拍；趋势刚启用，只有1/30个交易日的两条分数，后续交易日需逐日积累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66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df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Microsoft YaHei" w:hAnsi="Microsoft YaHei"/>
          <w:sz w:val="18"/>
        </w:rPr>
        <w:t>图6-1 新版股票查询与2026年10月20日短期风险判断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987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df_inpu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Microsoft YaHei" w:hAnsi="Microsoft YaHei"/>
          <w:sz w:val="18"/>
        </w:rPr>
        <w:t>图6-2 新版行情指标、公告情绪与近期市场信息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58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df_daily_tr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Microsoft YaHei" w:hAnsi="Microsoft YaHei"/>
          <w:sz w:val="18"/>
        </w:rPr>
        <w:t>图6-3 新版逐日风险趋势的首次记录，1/30个交易日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6.3 复现说明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从pbl项目根目录运行，先用backend/.fastapienv/bin/python -m backend.run启动接口，再进入frontend/app执行npm run dev。新版输入文件为data/processed/risk_inputs_pdf.npz，三组权重位于models/risk_pdf，固定测试结果在data/processed/risk_pdf_test_summary.json。真实运行日志见output/sentiment/sentiment-baseline.log、output/risk/risk-pdf-training.log与output/risk/risk-pdf-test.log。训练前需完成行情与公告采集、时间对齐、情绪特征抽取、风险输入构建；独立测试只在模型与阈值固定后运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第七章 总结与展望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本项目完成五只A股的历史行情与公告对齐、MacBERT情绪分类、传统情绪基线、包含指定波动率与回撤指标的行情特征、三组风险消融模型和独立测试。测试集上行情模型AP 0.0909、ROC-AUC 0.7689，融合模型AP 0.0800、ROC-AUC 0.7490。融合模型未超过行情模型，文本模型接近随机；其误报与漏报仍高。现阶段证据支持课程要求的流程实现与可复现比较，不支持可靠投资预警的产品结论。</w:t>
      </w:r>
    </w:p>
    <w:p>
      <w:pPr/>
      <w:r>
        <w:t>下一步应扩大跨股票、跨年份的历史文本覆盖，并人工抽样审核公告正文和事件类型；针对公告域标注情绪数据，检验短句模型迁移；做滚动时间验证和置信区间分析，并引入GRU或时序Transformer对照；最后用更多独立样本重新检验估计概率的校准程度。新版运行界面实拍见图6-1至图6-3；当前趋势仅有首个交易日，不能从单日图像推断模型表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参考文献与数据来源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[1] 课程作业说明PDF，《基于金融新闻与市场行情融合的股票短期风险预警系统》，第12—24页。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[2] Vaswani A, et al. Attention Is All You Need. 2017. https://arxiv.org/abs/1706.03762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[3] Devlin J, et al. BERT Pre-training of Deep Bidirectional Transformers for Language Understanding. 2018. https://arxiv.org/abs/1810.04805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[4] Cui Y, et al. Revisiting Pre-Trained Models for Chinese Natural Language Processing. 2020. https://arxiv.org/abs/2004.13922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[5] Kenpache. Multilingual Financial Sentiment 数据集. https://huggingface.co/datasets/Kenpache/multilingual-financial-sentiment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[6] AKShare 股票数据接口文档. https://akshare.akfamily.xyz/data/stock/stock.html</w:t>
      </w:r>
    </w:p>
    <w:p>
      <w:pPr/>
      <w:r>
        <w:rPr>
          <w:rFonts w:ascii="Microsoft YaHei" w:hAnsi="Microsoft YaHei" w:eastAsia="Microsoft YaHei" w:cs="Microsoft YaHei"/>
          <w:b w:val="0"/>
          <w:color w:val="19222B"/>
          <w:sz w:val="21"/>
        </w:rPr>
        <w:t>[7] 巨潮资讯网 上市公司公告. https://www.cninfo.com.cn/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94" w:left="1238" w:header="47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4D5A64"/>
        <w:sz w:val="17"/>
      </w:rPr>
      <w:t xml:space="preserve">— </w:t>
    </w:r>
    <w:fldSimple w:instr="PAGE"/>
    <w:r>
      <w:rPr>
        <w:rFonts w:ascii="Microsoft YaHei" w:hAnsi="Microsoft YaHei" w:eastAsia="Microsoft YaHei" w:cs="Microsoft YaHei"/>
        <w:b w:val="0"/>
        <w:color w:val="4D5A64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color w:val="4D5A64"/>
        <w:sz w:val="17"/>
      </w:rPr>
      <w:t>PBL 实践项目报告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