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教材内容分析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讲述了声音编码中模拟信号与数字信号的概念、文本编码中的二进制与数值转化、了解数据采集的各类方法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教材编排分析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主要采用直线式编排，讲授了两种数据编码。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教材形式分析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采用了内容讲授和活动相互交错的形式，鼓励学生探究。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hMDY4Njc0NzA5ODU1N2NmZmY5YmRlNDcxNmFkMTIifQ=="/>
  </w:docVars>
  <w:rsids>
    <w:rsidRoot w:val="00000000"/>
    <w:rsid w:val="53B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2024-03-21T10:43:06Z</dcterms:created>
  <dc:creator>13190</dc:creator>
  <cp:lastModifiedBy>WPS_1675845958</cp:lastModifiedBy>
  <dcterms:modified xsi:type="dcterms:W3CDTF">2024-03-21T10:53:25Z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D1902CF8BFFE49B9803095E3910716A7_12</vt:lpwstr>
  </property>
</Properties>
</file>