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4CAF74A9" w:rsidR="00B50701" w:rsidRDefault="00B50701">
      <w:r>
        <w:fldChar w:fldCharType="begin" w:fldLock="1"/>
      </w:r>
      <w:r w:rsidR="008C08E5">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Pr="00B50701">
        <w:rPr>
          <w:noProof/>
        </w:rPr>
        <w:t>[</w:t>
      </w:r>
      <w:r w:rsidRPr="00B50701">
        <w:rPr>
          <w:i/>
          <w:noProof/>
        </w:rPr>
        <w:t>Ruano et al.</w:t>
      </w:r>
      <w:r w:rsidRPr="00B50701">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25A24BFC" w:rsidR="00B50701" w:rsidRDefault="008C08E5" w:rsidP="00B50701">
      <w:r>
        <w:fldChar w:fldCharType="begin" w:fldLock="1"/>
      </w:r>
      <w:r w:rsidR="00F44BF9">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Pr="008C08E5">
        <w:rPr>
          <w:noProof/>
        </w:rPr>
        <w:t>[</w:t>
      </w:r>
      <w:r w:rsidRPr="008C08E5">
        <w:rPr>
          <w:i/>
          <w:noProof/>
        </w:rPr>
        <w:t>Shirzaei et al.</w:t>
      </w:r>
      <w:r w:rsidRPr="008C08E5">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12EA909C" w:rsidR="001C1ED1" w:rsidRDefault="00F44BF9" w:rsidP="00B50701">
      <w:r>
        <w:fldChar w:fldCharType="begin" w:fldLock="1"/>
      </w:r>
      <w:r w:rsidR="003E25ED">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Pr="00F44BF9">
        <w:rPr>
          <w:noProof/>
        </w:rPr>
        <w:t>[</w:t>
      </w:r>
      <w:r w:rsidRPr="00F44BF9">
        <w:rPr>
          <w:i/>
          <w:noProof/>
        </w:rPr>
        <w:t>Levander et al.</w:t>
      </w:r>
      <w:r w:rsidRPr="00F44BF9">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1EC70F26" w:rsidR="00773882" w:rsidRDefault="003E25ED" w:rsidP="00B50701">
      <w:r>
        <w:fldChar w:fldCharType="begin" w:fldLock="1"/>
      </w:r>
      <w:r w:rsidR="000C1D18">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Pr="003E25ED">
        <w:rPr>
          <w:noProof/>
        </w:rPr>
        <w:t>[</w:t>
      </w:r>
      <w:r w:rsidRPr="003E25ED">
        <w:rPr>
          <w:i/>
          <w:noProof/>
        </w:rPr>
        <w:t>Taira et al.</w:t>
      </w:r>
      <w:r w:rsidRPr="003E25ED">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1FCA5A29" w:rsidR="00F942A5" w:rsidRDefault="00A943BB" w:rsidP="00B50701">
      <w:r>
        <w:fldChar w:fldCharType="begin" w:fldLock="1"/>
      </w:r>
      <w:r w:rsidR="00780D09">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Pr="00A943BB">
        <w:rPr>
          <w:noProof/>
        </w:rPr>
        <w:t>[</w:t>
      </w:r>
      <w:r w:rsidRPr="00A943BB">
        <w:rPr>
          <w:i/>
          <w:noProof/>
        </w:rPr>
        <w:t>Bayrakci et al.</w:t>
      </w:r>
      <w:r w:rsidRPr="00A943BB">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045E466D" w:rsidR="00780D09" w:rsidRDefault="007E27F4" w:rsidP="00B50701">
      <w:r>
        <w:fldChar w:fldCharType="begin" w:fldLock="1"/>
      </w:r>
      <w:r w:rsidR="00780D09">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Pr="007E27F4">
        <w:rPr>
          <w:noProof/>
        </w:rPr>
        <w:t>[</w:t>
      </w:r>
      <w:r w:rsidRPr="007E27F4">
        <w:rPr>
          <w:i/>
          <w:noProof/>
        </w:rPr>
        <w:t>Lenardic</w:t>
      </w:r>
      <w:r w:rsidRPr="007E27F4">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0633188" w:rsidR="00940474" w:rsidRDefault="00780D09" w:rsidP="00B50701">
      <w:r>
        <w:fldChar w:fldCharType="begin" w:fldLock="1"/>
      </w:r>
      <w:r w:rsidR="00020C8B">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Pr="00780D09">
        <w:rPr>
          <w:noProof/>
        </w:rPr>
        <w:t>[</w:t>
      </w:r>
      <w:r w:rsidRPr="00780D09">
        <w:rPr>
          <w:i/>
          <w:noProof/>
        </w:rPr>
        <w:t>Mishra and Gordon</w:t>
      </w:r>
      <w:r w:rsidRPr="00780D09">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52D2BCF2" w:rsidR="00020C8B" w:rsidRDefault="00020C8B" w:rsidP="00B50701">
      <w:r>
        <w:fldChar w:fldCharType="begin" w:fldLock="1"/>
      </w:r>
      <w:r w:rsidR="00995522">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Pr="00020C8B">
        <w:rPr>
          <w:noProof/>
        </w:rPr>
        <w:t>[</w:t>
      </w:r>
      <w:r w:rsidRPr="00020C8B">
        <w:rPr>
          <w:i/>
          <w:noProof/>
        </w:rPr>
        <w:t>Zheng et al.</w:t>
      </w:r>
      <w:r w:rsidRPr="00020C8B">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562B0620" w:rsidR="00F942A5" w:rsidRDefault="00995522" w:rsidP="00B50701">
      <w:r>
        <w:fldChar w:fldCharType="begin" w:fldLock="1"/>
      </w:r>
      <w:r w:rsidR="00137AF6">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Pr="00995522">
        <w:rPr>
          <w:noProof/>
        </w:rPr>
        <w:t>[</w:t>
      </w:r>
      <w:r w:rsidRPr="00995522">
        <w:rPr>
          <w:i/>
          <w:noProof/>
        </w:rPr>
        <w:t>Niu et al.</w:t>
      </w:r>
      <w:r w:rsidRPr="00995522">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5DAE4C46" w:rsidR="00F942A5" w:rsidRDefault="00137AF6" w:rsidP="00B50701">
      <w:r>
        <w:fldChar w:fldCharType="begin" w:fldLock="1"/>
      </w:r>
      <w:r w:rsidR="009D6DA1">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Pr="00137AF6">
        <w:rPr>
          <w:noProof/>
        </w:rPr>
        <w:t>[</w:t>
      </w:r>
      <w:r w:rsidRPr="00137AF6">
        <w:rPr>
          <w:i/>
          <w:noProof/>
        </w:rPr>
        <w:t>LeCun et al.</w:t>
      </w:r>
      <w:r w:rsidRPr="00137AF6">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157C91B6" w:rsidR="009D6DA1" w:rsidRDefault="009D6DA1" w:rsidP="009D6DA1">
      <w:r>
        <w:fldChar w:fldCharType="begin" w:fldLock="1"/>
      </w:r>
      <w:r w:rsidR="00667C5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Pr="009D6DA1">
        <w:rPr>
          <w:noProof/>
        </w:rPr>
        <w:t>[</w:t>
      </w:r>
      <w:r w:rsidRPr="009D6DA1">
        <w:rPr>
          <w:i/>
          <w:noProof/>
        </w:rPr>
        <w:t>Long et al.</w:t>
      </w:r>
      <w:r w:rsidRPr="009D6DA1">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0AF3A6D0" w:rsidR="00667C5E" w:rsidRDefault="00667C5E" w:rsidP="00B50701">
      <w:r>
        <w:fldChar w:fldCharType="begin" w:fldLock="1"/>
      </w:r>
      <w:r w:rsidR="008F0C99">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Pr="00667C5E">
        <w:rPr>
          <w:noProof/>
        </w:rPr>
        <w:t>[</w:t>
      </w:r>
      <w:r w:rsidRPr="00667C5E">
        <w:rPr>
          <w:i/>
          <w:noProof/>
        </w:rPr>
        <w:t>Goodfellow et al.</w:t>
      </w:r>
      <w:r w:rsidRPr="00667C5E">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527CDB">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8F0C99" w:rsidRPr="008F0C99">
        <w:rPr>
          <w:noProof/>
        </w:rPr>
        <w:t>[</w:t>
      </w:r>
      <w:r w:rsidR="008F0C99" w:rsidRPr="008F0C99">
        <w:rPr>
          <w:i/>
          <w:noProof/>
        </w:rPr>
        <w:t>Focus</w:t>
      </w:r>
      <w:r w:rsidR="008F0C99" w:rsidRPr="008F0C99">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3A5610C6" w:rsidR="00527CDB" w:rsidRDefault="00527CDB" w:rsidP="00B50701">
      <w:r>
        <w:fldChar w:fldCharType="begin" w:fldLock="1"/>
      </w:r>
      <w:r w:rsidR="00052381">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Pr="00527CDB">
        <w:rPr>
          <w:noProof/>
        </w:rPr>
        <w:t>[</w:t>
      </w:r>
      <w:r w:rsidRPr="00527CDB">
        <w:rPr>
          <w:i/>
          <w:noProof/>
        </w:rPr>
        <w:t>Yoffie and Kim</w:t>
      </w:r>
      <w:r w:rsidRPr="00527CDB">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 xml:space="preserve">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DFCED05" w:rsidR="009D6DA1" w:rsidRDefault="00052381" w:rsidP="00B50701">
      <w:r>
        <w:fldChar w:fldCharType="begin" w:fldLock="1"/>
      </w:r>
      <w:r w:rsidR="000A75ED">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Pr="00052381">
        <w:rPr>
          <w:noProof/>
        </w:rPr>
        <w:t>[</w:t>
      </w:r>
      <w:r w:rsidRPr="00052381">
        <w:rPr>
          <w:i/>
          <w:noProof/>
        </w:rPr>
        <w:t>Sahlman</w:t>
      </w:r>
      <w:r w:rsidRPr="00052381">
        <w:rPr>
          <w:noProof/>
        </w:rPr>
        <w:t>, 2009]</w:t>
      </w:r>
      <w:r>
        <w:fldChar w:fldCharType="end"/>
      </w:r>
      <w:r>
        <w:t xml:space="preserve"> shows the history of the success of the SpinBrush. It is really cool to see how John Osher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developments is also very important factor we need consider to protect us from the giants. </w:t>
      </w:r>
    </w:p>
    <w:p w14:paraId="7D0944ED" w14:textId="77777777" w:rsidR="000A75ED" w:rsidRDefault="000A75ED" w:rsidP="00B50701"/>
    <w:p w14:paraId="67A644A9" w14:textId="4955724D" w:rsidR="000A75ED" w:rsidRDefault="000A75ED" w:rsidP="00B50701">
      <w:r>
        <w:fldChar w:fldCharType="begin" w:fldLock="1"/>
      </w:r>
      <w:r w:rsidR="000D3DD9">
        <w:instrText>ADDIN CSL_CITATION { "citationItems" : [ { "id" : "ITEM-1", "itemData" : { "author" : [ { "dropping-particle" : "", "family" : "Massari", "given" : "A", "non-dropping-particle" : "", "parse-names" : false, "suffix" : "" }, { "dropping-particle" : "", "family" : "Kohler", "given" : "M",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"noteIndex" : 0 }, "schema" : "https://github.com/citation-style-language/schema/raw/master/csl-citation.json" }</w:instrText>
      </w:r>
      <w:r>
        <w:fldChar w:fldCharType="separate"/>
      </w:r>
      <w:r w:rsidRPr="000A75ED">
        <w:rPr>
          <w:noProof/>
        </w:rPr>
        <w:t>[</w:t>
      </w:r>
      <w:r w:rsidRPr="000A75ED">
        <w:rPr>
          <w:i/>
          <w:noProof/>
        </w:rPr>
        <w:t>Massari et al.</w:t>
      </w:r>
      <w:r w:rsidRPr="000A75ED">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60524657" w:rsidR="000D3DD9" w:rsidRDefault="000D3DD9" w:rsidP="00B50701">
      <w:r>
        <w:fldChar w:fldCharType="begin" w:fldLock="1"/>
      </w:r>
      <w:r w:rsidR="00482E26">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"noteIndex" : 0 }, "schema" : "https://github.com/citation-style-language/schema/raw/master/csl-citation.json" }</w:instrText>
      </w:r>
      <w:r>
        <w:fldChar w:fldCharType="separate"/>
      </w:r>
      <w:r w:rsidRPr="000D3DD9">
        <w:rPr>
          <w:noProof/>
        </w:rPr>
        <w:t>[</w:t>
      </w:r>
      <w:r w:rsidRPr="000D3DD9">
        <w:rPr>
          <w:i/>
          <w:noProof/>
        </w:rPr>
        <w:t>Bletery et al.</w:t>
      </w:r>
      <w:r w:rsidRPr="000D3DD9">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are </w:t>
      </w:r>
      <w:r>
        <w:t xml:space="preserve"> </w:t>
      </w:r>
      <w:r w:rsidR="006A458D">
        <w:t xml:space="preserve">within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megathrusts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099620EA" w:rsidR="00482E26" w:rsidRDefault="00482E26" w:rsidP="00B50701">
      <w:r>
        <w:fldChar w:fldCharType="begin" w:fldLock="1"/>
      </w:r>
      <w:r w:rsidR="00975F1A">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"[&lt;i&gt;Aguiar and Myers&lt;/i&gt;, 2016]" }, "properties" : { "noteIndex" : 0 }, "schema" : "https://github.com/citation-style-language/schema/raw/master/csl-citation.json" }</w:instrText>
      </w:r>
      <w:r>
        <w:fldChar w:fldCharType="separate"/>
      </w:r>
      <w:r w:rsidRPr="00482E26">
        <w:rPr>
          <w:noProof/>
        </w:rPr>
        <w:t>[</w:t>
      </w:r>
      <w:r w:rsidRPr="00482E26">
        <w:rPr>
          <w:i/>
          <w:noProof/>
        </w:rPr>
        <w:t>Aguiar and Myers</w:t>
      </w:r>
      <w:r w:rsidRPr="00482E26">
        <w:rPr>
          <w:noProof/>
        </w:rPr>
        <w:t>, 2016]</w:t>
      </w:r>
      <w:r>
        <w:fldChar w:fldCharType="end"/>
      </w:r>
      <w:r>
        <w:t xml:space="preserve"> talks about characterizing microseismicity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microseismicity, maybe there will be another paper talk more about this. </w:t>
      </w:r>
    </w:p>
    <w:p w14:paraId="16813A57" w14:textId="77777777" w:rsidR="00975F1A" w:rsidRDefault="00975F1A" w:rsidP="00B50701"/>
    <w:p w14:paraId="76A7D55F" w14:textId="7CD1EE77" w:rsidR="00975F1A" w:rsidRDefault="00975F1A" w:rsidP="00B50701">
      <w:r>
        <w:fldChar w:fldCharType="begin" w:fldLock="1"/>
      </w:r>
      <w:r w:rsidR="00AE2A7E">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"previouslyFormattedCitation" : "[&lt;i&gt;NAEEM ZAFAR&lt;/i&gt;, 2011]" }, "properties" : { "noteIndex" : 0 }, "schema" : "https://github.com/citation-style-language/schema/raw/master/csl-citation.json" }</w:instrText>
      </w:r>
      <w:r>
        <w:fldChar w:fldCharType="separate"/>
      </w:r>
      <w:r w:rsidRPr="00975F1A">
        <w:rPr>
          <w:noProof/>
        </w:rPr>
        <w:t>[</w:t>
      </w:r>
      <w:r w:rsidRPr="00975F1A">
        <w:rPr>
          <w:i/>
          <w:noProof/>
        </w:rPr>
        <w:t>NAEEM ZAFAR</w:t>
      </w:r>
      <w:r w:rsidRPr="00975F1A">
        <w:rPr>
          <w:noProof/>
        </w:rPr>
        <w:t>, 2011]</w:t>
      </w:r>
      <w:r>
        <w:fldChar w:fldCharType="end"/>
      </w:r>
      <w:r>
        <w:t xml:space="preserve"> talks about the whole history of the company Veridicom, and some interesting things I learned are:</w:t>
      </w:r>
    </w:p>
    <w:p w14:paraId="7AE69269" w14:textId="554C1513" w:rsidR="00975F1A" w:rsidRDefault="00975F1A" w:rsidP="00975F1A">
      <w:pPr>
        <w:pStyle w:val="ListParagraph"/>
        <w:numPr>
          <w:ilvl w:val="0"/>
          <w:numId w:val="2"/>
        </w:numPr>
      </w:pPr>
      <w:r>
        <w:lastRenderedPageBreak/>
        <w:t xml:space="preserve">the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invest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if you don’t have outside support, even your technology is really advanced, you can not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The early fail of the company is due to they did not figure out “who exactly are the customers”, therefore, the transform from OEM manufacturer to a solution company that aiming for get BOA etc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 xml:space="preserve">Identifying the existing competitors are important. </w:t>
      </w:r>
    </w:p>
    <w:p w14:paraId="33D145C2" w14:textId="77777777" w:rsidR="002C26D3" w:rsidRDefault="002C26D3" w:rsidP="00B50701"/>
    <w:p w14:paraId="319A9AE4" w14:textId="6BF2286E" w:rsidR="00052381" w:rsidRDefault="00AE2A7E" w:rsidP="00B50701">
      <w:r>
        <w:fldChar w:fldCharType="begin" w:fldLock="1"/>
      </w:r>
      <w:r w:rsidR="00221C6E">
        <w:instrText>ADDIN CSL_CITATION { "citationItems" : [ { "id" : "ITEM-1", "itemData" : { "DOI" : "10.1117/12.2010306", "ISBN" : "9780819494757", "ISSN" : "0277786X", "abstract" : "A new type of seismic network is in development that takes advantage of community volunteers to install low-cost ac-celerometers in houses and buildings. The Community Seismic Network and Quake-Catcher Network are examples of this, in which observational-based structural monitoring is carried out using records from one to tens of stations in a single building. We have deployed about one hundred accelerometers in a number of buildings ranging between five and 23 stories in the Los Angeles region. In addition to a USB-connected device which connects to the host's computer, we have developed a stand-alone sensor-plug-computer device that directly connects to the internet via Ethernet or wifi. In the case of the Community Seismic Network, the sensors report both continuous data and anomalies in local acceleration to a cloud computing service consisting of data centers geographically distributed across the continent. Visualization models of the instrumented buildings' dynamic linear response have been constructed using Google SketchUp and an associated plug-in to matlab with recorded shaking data. When data are available from only one to a very limited number of accelerometers in high rises, the buildings are represented as simple shear beam or prismatic Timoshenko beam models with soil-structure interaction. Small-magnitude earthquake records are used to identify the first set of horizontal vibrational frequencies. These frequencies are then used to compute the response on every floor of the building, constrained by the observed data. These tools are resulting in networking standards that will enable data sharing among entire communities, facility managers, and emergency response groups. \u00a9 2013 SPIE.", "author" : [ { "dropping-particle" : "", "family" : "Kohler", "given" : "Monica D", "non-dropping-particle" : "", "parse-names" : false, "suffix" : "" }, { "dropping-particle" : "", "family" : "Heaton", "given" : "Thomas H", "non-dropping-particle" : "", "parse-names" : false, "suffix" : "" }, { "dropping-particle" : "", "family" : "Cheng", "given" : "Ming-Hei", "non-dropping-particle" : "", "parse-names" : false, "suffix" : "" } ], "container-title" : "Proceedings of SPIE - The International Society for Optical Engineering", "id" : "ITEM-1", "issued" : { "date-parts" : [ [ "2013" ] ] }, "page" : "86923X", "title" : "The community seismic network and quake-catcher network: enabling structural health monitoring through instrumentation by community participants", "type" : "article-journal", "volume" : "8692" }, "uris" : [ "http://www.mendeley.com/documents/?uuid=05884cc6-e04a-49af-9897-25709c4056dc" ] } ], "mendeley" : { "formattedCitation" : "[&lt;i&gt;Kohler et al.&lt;/i&gt;, 2013]", "plainTextFormattedCitation" : "[Kohler et al., 2013]", "previouslyFormattedCitation" : "[&lt;i&gt;Kohler et al.&lt;/i&gt;, 2013]" }, "properties" : { "noteIndex" : 0 }, "schema" : "https://github.com/citation-style-language/schema/raw/master/csl-citation.json" }</w:instrText>
      </w:r>
      <w:r>
        <w:fldChar w:fldCharType="separate"/>
      </w:r>
      <w:r w:rsidRPr="00AE2A7E">
        <w:rPr>
          <w:noProof/>
        </w:rPr>
        <w:t>[</w:t>
      </w:r>
      <w:r w:rsidRPr="00AE2A7E">
        <w:rPr>
          <w:i/>
          <w:noProof/>
        </w:rPr>
        <w:t>Kohler et al.</w:t>
      </w:r>
      <w:r w:rsidRPr="00AE2A7E">
        <w:rPr>
          <w:noProof/>
        </w:rPr>
        <w:t>, 2013]</w:t>
      </w:r>
      <w:r>
        <w:fldChar w:fldCharType="end"/>
      </w:r>
      <w:r>
        <w:t xml:space="preserve"> reports the idea of using low-cost sensors to do structural health monitoring. </w:t>
      </w:r>
      <w:r w:rsidR="00014118">
        <w:t xml:space="preserve">In this paper, they showed that they can model the building using Timoshenko beam approach. </w:t>
      </w:r>
      <w:r w:rsidR="00EF6DCA">
        <w:t xml:space="preserve">In this case, knowing the first two eigenfrequencies of the building allows them to estimate the mode shapes of a bending, shearing, and rocking building. Then </w:t>
      </w:r>
      <w:r w:rsidR="00341AD6">
        <w:t xml:space="preserve">they use the first two modes and the traveling wave component, they can estimate the displacement around the fundamental frequencies. This let them to compare with the observations from the low-cost sensors and showing nice matching. </w:t>
      </w:r>
      <w:r w:rsidR="009E04CB">
        <w:t xml:space="preserve">They also have timing issue on different sensors, and they applied method to correct it. </w:t>
      </w:r>
      <w:r w:rsidR="008F1D69">
        <w:t>This approach uses the observation that the building’s response is dominated by the 1</w:t>
      </w:r>
      <w:r w:rsidR="008F1D69" w:rsidRPr="008F1D69">
        <w:rPr>
          <w:vertAlign w:val="superscript"/>
        </w:rPr>
        <w:t>st</w:t>
      </w:r>
      <w:r w:rsidR="008F1D69">
        <w:t xml:space="preserve"> modal response and the residual response which is the travelling wave due to the building’s transient response to earthquake forces exciting it at the base. </w:t>
      </w:r>
      <w:r w:rsidR="00410A65">
        <w:t xml:space="preserve">Approximations are more accurate when the single record is obtained from near the top of the building. </w:t>
      </w:r>
    </w:p>
    <w:p w14:paraId="02A503AC" w14:textId="77777777" w:rsidR="00221C6E" w:rsidRDefault="00221C6E" w:rsidP="00B50701"/>
    <w:p w14:paraId="0F8A83ED" w14:textId="08C0CC28" w:rsidR="00221C6E" w:rsidRDefault="00221C6E" w:rsidP="00B50701">
      <w:r>
        <w:fldChar w:fldCharType="begin" w:fldLock="1"/>
      </w:r>
      <w:r w:rsidR="000C3A23">
        <w:instrText>ADDIN CSL_CITATION { "citationItems" : [ { "id" : "ITEM-1", "itemData" : { "DOI" : "10.3133/ofr20151134", "author" : [ { "dropping-particle" : "", "family" : "Kohler", "given" : "By Monica D", "non-dropping-particle" : "", "parse-names" : false, "suffix" : "" }, { "dropping-particle" : "", "family" : "Hao", "given" : "Shuai", "non-dropping-particle" : "", "parse-names" : false, "suffix" : "" }, { "dropping-particle" : "", "family" : "Mishra", "given" : "Nilesh", "non-dropping-particle" : "", "parse-names" : false, "suffix" : "" }, { "dropping-particle" : "", "family" : "Govindan", "given" : "Ramesh", "non-dropping-particle" : "", "parse-names" : false, "suffix" : "" }, { "dropping-particle" : "", "family" : "Nigbor", "given" : "Robert", "non-dropping-particle" : "", "parse-names" : false, "suffix" : "" }, { "dropping-particle" : "", "family" : "Jewell", "given" : "Sally", "non-dropping-particle" : "", "parse-names" : false, "suffix" : "" }, { "dropping-particle" : "", "family" : "Survey", "given" : "U S Geological", "non-dropping-particle" : "", "parse-names" : false, "suffix" : "" } ], "id" : "ITEM-1", "issued" : { "date-parts" : [ [ "2015" ] ] }, "title" : "ShakeNet : A Portable Wireless Sensor Network for Instrumenting Large Civil Structures", "type" : "report" }, "uris" : [ "http://www.mendeley.com/documents/?uuid=b44dd671-eec4-425e-85d0-54560e4481ea" ] } ], "mendeley" : { "formattedCitation" : "[&lt;i&gt;Kohler et al.&lt;/i&gt;, 2015]", "plainTextFormattedCitation" : "[Kohler et al., 2015]", "previouslyFormattedCitation" : "[&lt;i&gt;Kohler et al.&lt;/i&gt;, 2015]" }, "properties" : { "noteIndex" : 0 }, "schema" : "https://github.com/citation-style-language/schema/raw/master/csl-citation.json" }</w:instrText>
      </w:r>
      <w:r>
        <w:fldChar w:fldCharType="separate"/>
      </w:r>
      <w:r w:rsidRPr="00221C6E">
        <w:rPr>
          <w:noProof/>
        </w:rPr>
        <w:t>[</w:t>
      </w:r>
      <w:r w:rsidRPr="00221C6E">
        <w:rPr>
          <w:i/>
          <w:noProof/>
        </w:rPr>
        <w:t>Kohler et al.</w:t>
      </w:r>
      <w:r w:rsidRPr="00221C6E">
        <w:rPr>
          <w:noProof/>
        </w:rPr>
        <w:t>, 2015]</w:t>
      </w:r>
      <w:r>
        <w:fldChar w:fldCharType="end"/>
      </w:r>
      <w:r>
        <w:t xml:space="preserve"> reports the ShakeNet project with the goal to record ambient vibrations for several days from new designed system. </w:t>
      </w:r>
      <w:r w:rsidR="00AE7B6D">
        <w:t xml:space="preserve">They designed the whole system to be a class A type of sensor, and have the capability to run on battery with several days. </w:t>
      </w:r>
      <w:r w:rsidR="00B75777">
        <w:t xml:space="preserve">It can be used to quickly instrument large structures immediately after an earthquake to capture aftershocks and ambient motions. </w:t>
      </w:r>
      <w:r w:rsidR="0020732F">
        <w:t xml:space="preserve">One thing during their </w:t>
      </w:r>
      <w:r w:rsidR="0020732F">
        <w:lastRenderedPageBreak/>
        <w:t xml:space="preserve">test is that the 16-bit resolution sensors are inadequate for monitoring ambient vibrations in large structures. It was originally designed for high-frequency sensing in the kHz range, so its response at the sub-1 Hz modal frequencies of large structures was poor. </w:t>
      </w:r>
      <w:r w:rsidR="00147DBD">
        <w:t>Therefore, they are now using 24-bit acceleration data acquisition system</w:t>
      </w:r>
      <w:r w:rsidR="00933904">
        <w:t xml:space="preserve"> that uses commercial low-noise MEMS</w:t>
      </w:r>
      <w:r w:rsidR="00147DBD">
        <w:t xml:space="preserve">. </w:t>
      </w:r>
      <w:r w:rsidR="0020732F">
        <w:t xml:space="preserve">The timing in the system </w:t>
      </w:r>
      <w:r w:rsidR="00C532E0">
        <w:t xml:space="preserve">is sync through Flooding Time Synchronization Protocol (FTSP), but is infeasible because they were not able to estimate clock drift between master tier and sensor motes with millisecond accuracy. To overcome it, they use GPS to record the value of each ShakeBox’s internal clock at the beginning and end of data collection. This assumes linear drift between the two recording times, which may not always true. </w:t>
      </w:r>
      <w:r w:rsidR="00DE6770">
        <w:t xml:space="preserve">They also show some test results in the lab, and two prototype projects. It seems overall the system is good for quick structural monitoring, and I may use their system to do quick investigation of some of the monitoring in the future. </w:t>
      </w:r>
    </w:p>
    <w:p w14:paraId="2C2404F4" w14:textId="77777777" w:rsidR="000C3A23" w:rsidRDefault="000C3A23" w:rsidP="00B50701"/>
    <w:p w14:paraId="7CDEBF9B" w14:textId="6658AA52" w:rsidR="000C3A23" w:rsidRDefault="000C3A23" w:rsidP="00B50701">
      <w:r>
        <w:fldChar w:fldCharType="begin" w:fldLock="1"/>
      </w:r>
      <w:r>
        <w:instrText>ADDIN CSL_CITATION { "citationItems" : [ { "id" : "ITEM-1", "itemData" : { "DOI" : "10.1785/0120140037", "ISSN" : "19433573", "author" : [ { "dropping-particle" : "", "family" : "Cheng", "given" : "Ming Hei", "non-dropping-particle" : "", "parse-names" : false, "suffix" : "" }, { "dropping-particle" : "", "family" : "Kohler", "given" : "Monica D.", "non-dropping-particle" : "", "parse-names" : false, "suffix" : "" }, { "dropping-particle" : "", "family" : "Heaton", "given" : "Thomas H.", "non-dropping-particle" : "", "parse-names" : false, "suffix" : "" } ], "container-title" : "Bulletin of the Seismological Society of America", "id" : "ITEM-1", "issue" : "1", "issued" : { "date-parts" : [ [ "2015" ] ] }, "page" : "107-119", "title" : "Prediction of wave propagation in buildings using data from a single seismometer", "type" : "article-journal", "volume" : "105" }, "uris" : [ "http://www.mendeley.com/documents/?uuid=08131e22-24e8-4b3f-a23a-0f47a6a1e5fa" ] } ], "mendeley" : { "formattedCitation" : "[&lt;i&gt;Cheng et al.&lt;/i&gt;, 2015]", "plainTextFormattedCitation" : "[Cheng et al., 2015]" }, "properties" : { "noteIndex" : 0 }, "schema" : "https://github.com/citation-style-language/schema/raw/master/csl-citation.json" }</w:instrText>
      </w:r>
      <w:r>
        <w:fldChar w:fldCharType="separate"/>
      </w:r>
      <w:r w:rsidRPr="000C3A23">
        <w:rPr>
          <w:noProof/>
        </w:rPr>
        <w:t>[</w:t>
      </w:r>
      <w:r w:rsidRPr="000C3A23">
        <w:rPr>
          <w:i/>
          <w:noProof/>
        </w:rPr>
        <w:t>Cheng et al.</w:t>
      </w:r>
      <w:r w:rsidRPr="000C3A23">
        <w:rPr>
          <w:noProof/>
        </w:rPr>
        <w:t>, 2015]</w:t>
      </w:r>
      <w:r>
        <w:fldChar w:fldCharType="end"/>
      </w:r>
      <w:r>
        <w:t xml:space="preserve"> reports the method to rapidly estimate the total displacement response of a building based on limited observational data, in some cases from a single seismometer. </w:t>
      </w:r>
      <w:r w:rsidR="001963BF">
        <w:t xml:space="preserve">In general, the earliest part of the response is simulated by assuming a vertically propagating shear wave. Later motions are simulated using mode shapes derived from a beam model, the parameters of which are determined from the ratios of the modal frequencies and the building’s exterior dimensions. </w:t>
      </w:r>
      <w:r w:rsidR="006C0123">
        <w:t xml:space="preserve">Then they verify the method by (1) comparing predicted and actual records from a 54-story building, and (2) comparing finite-element simulations of the 17-story UCLA Factor building. </w:t>
      </w:r>
      <w:r w:rsidR="00B80625">
        <w:t xml:space="preserve">The method can be straightforwardly applied to multiple instrumented buildings, resulting in a tool to visualize linear elastic motions of those buildings. </w:t>
      </w:r>
      <w:bookmarkStart w:id="0" w:name="_GoBack"/>
      <w:bookmarkEnd w:id="0"/>
    </w:p>
    <w:p w14:paraId="0E95BF33" w14:textId="77777777" w:rsidR="00AE2A7E" w:rsidRDefault="00AE2A7E" w:rsidP="00B50701"/>
    <w:p w14:paraId="271E083F" w14:textId="70626752" w:rsidR="000C3A23" w:rsidRPr="000C3A23" w:rsidRDefault="000C1D18" w:rsidP="000C3A23">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0C3A23" w:rsidRPr="000C3A23">
        <w:rPr>
          <w:rFonts w:ascii="Cambria" w:hAnsi="Cambria"/>
          <w:noProof/>
        </w:rPr>
        <w:t xml:space="preserve">Aguiar, A. C., and S. C. Myers (2016), </w:t>
      </w:r>
      <w:r w:rsidR="000C3A23" w:rsidRPr="000C3A23">
        <w:rPr>
          <w:rFonts w:ascii="Cambria" w:hAnsi="Cambria"/>
          <w:i/>
          <w:iCs/>
          <w:noProof/>
        </w:rPr>
        <w:t>Characterizing Microseismicity at the Newberry Volcano Geothermal Site using PageRank</w:t>
      </w:r>
      <w:r w:rsidR="000C3A23" w:rsidRPr="000C3A23">
        <w:rPr>
          <w:rFonts w:ascii="Cambria" w:hAnsi="Cambria"/>
          <w:noProof/>
        </w:rPr>
        <w:t>.</w:t>
      </w:r>
    </w:p>
    <w:p w14:paraId="462F2949" w14:textId="77777777" w:rsidR="000C3A23" w:rsidRPr="000C3A23" w:rsidRDefault="000C3A23" w:rsidP="000C3A23">
      <w:pPr>
        <w:widowControl w:val="0"/>
        <w:autoSpaceDE w:val="0"/>
        <w:autoSpaceDN w:val="0"/>
        <w:adjustRightInd w:val="0"/>
        <w:ind w:left="480" w:hanging="480"/>
        <w:rPr>
          <w:rFonts w:ascii="Cambria" w:hAnsi="Cambria"/>
          <w:noProof/>
        </w:rPr>
      </w:pPr>
      <w:r w:rsidRPr="000C3A23">
        <w:rPr>
          <w:rFonts w:ascii="Cambria" w:hAnsi="Cambria"/>
          <w:noProof/>
        </w:rPr>
        <w:t xml:space="preserve">Bayrakci, G. et al. (2016), Fault-controlled hydration of the upper mantle during continental rifting, </w:t>
      </w:r>
      <w:r w:rsidRPr="000C3A23">
        <w:rPr>
          <w:rFonts w:ascii="Cambria" w:hAnsi="Cambria"/>
          <w:i/>
          <w:iCs/>
          <w:noProof/>
        </w:rPr>
        <w:t>Nat. Geosci.</w:t>
      </w:r>
      <w:r w:rsidRPr="000C3A23">
        <w:rPr>
          <w:rFonts w:ascii="Cambria" w:hAnsi="Cambria"/>
          <w:noProof/>
        </w:rPr>
        <w:t>, (March), 1–6, doi:10.1038/ngeo2671.</w:t>
      </w:r>
    </w:p>
    <w:p w14:paraId="1A4FAB8A" w14:textId="77777777" w:rsidR="000C3A23" w:rsidRPr="000C3A23" w:rsidRDefault="000C3A23" w:rsidP="000C3A23">
      <w:pPr>
        <w:widowControl w:val="0"/>
        <w:autoSpaceDE w:val="0"/>
        <w:autoSpaceDN w:val="0"/>
        <w:adjustRightInd w:val="0"/>
        <w:ind w:left="480" w:hanging="480"/>
        <w:rPr>
          <w:rFonts w:ascii="Cambria" w:hAnsi="Cambria"/>
          <w:noProof/>
        </w:rPr>
      </w:pPr>
      <w:r w:rsidRPr="000C3A23">
        <w:rPr>
          <w:rFonts w:ascii="Cambria" w:hAnsi="Cambria"/>
          <w:noProof/>
        </w:rPr>
        <w:t xml:space="preserve">Bletery, Q., A. M. Thomas, A. W. Rempel, L. Karlstrom, A. Sladen, and L. De Barros (2016), Mega-earthquakes rupture flat megathrusts, </w:t>
      </w:r>
      <w:r w:rsidRPr="000C3A23">
        <w:rPr>
          <w:rFonts w:ascii="Cambria" w:hAnsi="Cambria"/>
          <w:i/>
          <w:iCs/>
          <w:noProof/>
        </w:rPr>
        <w:t>Science (80-. ).</w:t>
      </w:r>
      <w:r w:rsidRPr="000C3A23">
        <w:rPr>
          <w:rFonts w:ascii="Cambria" w:hAnsi="Cambria"/>
          <w:noProof/>
        </w:rPr>
        <w:t xml:space="preserve">, </w:t>
      </w:r>
      <w:r w:rsidRPr="000C3A23">
        <w:rPr>
          <w:rFonts w:ascii="Cambria" w:hAnsi="Cambria"/>
          <w:i/>
          <w:iCs/>
          <w:noProof/>
        </w:rPr>
        <w:t>354</w:t>
      </w:r>
      <w:r w:rsidRPr="000C3A23">
        <w:rPr>
          <w:rFonts w:ascii="Cambria" w:hAnsi="Cambria"/>
          <w:noProof/>
        </w:rPr>
        <w:t>(6315), 1027–1031, doi:10.1126/science.aag0482.</w:t>
      </w:r>
    </w:p>
    <w:p w14:paraId="7D7494B0" w14:textId="77777777" w:rsidR="000C3A23" w:rsidRPr="000C3A23" w:rsidRDefault="000C3A23" w:rsidP="000C3A23">
      <w:pPr>
        <w:widowControl w:val="0"/>
        <w:autoSpaceDE w:val="0"/>
        <w:autoSpaceDN w:val="0"/>
        <w:adjustRightInd w:val="0"/>
        <w:ind w:left="480" w:hanging="480"/>
        <w:rPr>
          <w:rFonts w:ascii="Cambria" w:hAnsi="Cambria"/>
          <w:noProof/>
        </w:rPr>
      </w:pPr>
      <w:r w:rsidRPr="000C3A23">
        <w:rPr>
          <w:rFonts w:ascii="Cambria" w:hAnsi="Cambria"/>
          <w:noProof/>
        </w:rPr>
        <w:t xml:space="preserve">Cheng, M. H., M. D. Kohler, and T. H. Heaton (2015), Prediction of wave propagation in buildings using data from a single seismometer, </w:t>
      </w:r>
      <w:r w:rsidRPr="000C3A23">
        <w:rPr>
          <w:rFonts w:ascii="Cambria" w:hAnsi="Cambria"/>
          <w:i/>
          <w:iCs/>
          <w:noProof/>
        </w:rPr>
        <w:t>Bull. Seismol. Soc. Am.</w:t>
      </w:r>
      <w:r w:rsidRPr="000C3A23">
        <w:rPr>
          <w:rFonts w:ascii="Cambria" w:hAnsi="Cambria"/>
          <w:noProof/>
        </w:rPr>
        <w:t xml:space="preserve">, </w:t>
      </w:r>
      <w:r w:rsidRPr="000C3A23">
        <w:rPr>
          <w:rFonts w:ascii="Cambria" w:hAnsi="Cambria"/>
          <w:i/>
          <w:iCs/>
          <w:noProof/>
        </w:rPr>
        <w:t>105</w:t>
      </w:r>
      <w:r w:rsidRPr="000C3A23">
        <w:rPr>
          <w:rFonts w:ascii="Cambria" w:hAnsi="Cambria"/>
          <w:noProof/>
        </w:rPr>
        <w:t>(1), 107–119, doi:10.1785/0120140037.</w:t>
      </w:r>
    </w:p>
    <w:p w14:paraId="7C790FAE" w14:textId="77777777" w:rsidR="000C3A23" w:rsidRPr="000C3A23" w:rsidRDefault="000C3A23" w:rsidP="000C3A23">
      <w:pPr>
        <w:widowControl w:val="0"/>
        <w:autoSpaceDE w:val="0"/>
        <w:autoSpaceDN w:val="0"/>
        <w:adjustRightInd w:val="0"/>
        <w:ind w:left="480" w:hanging="480"/>
        <w:rPr>
          <w:rFonts w:ascii="Cambria" w:hAnsi="Cambria"/>
          <w:noProof/>
        </w:rPr>
      </w:pPr>
      <w:r w:rsidRPr="000C3A23">
        <w:rPr>
          <w:rFonts w:ascii="Cambria" w:hAnsi="Cambria"/>
          <w:noProof/>
        </w:rPr>
        <w:t xml:space="preserve">Focus, N. I. N. (2017), Astronomers explore uses for AI-generated images Hydrogen yet to prove it ’ s metal, </w:t>
      </w:r>
      <w:r w:rsidRPr="000C3A23">
        <w:rPr>
          <w:rFonts w:ascii="Cambria" w:hAnsi="Cambria"/>
          <w:i/>
          <w:iCs/>
          <w:noProof/>
        </w:rPr>
        <w:t>Nature</w:t>
      </w:r>
      <w:r w:rsidRPr="000C3A23">
        <w:rPr>
          <w:rFonts w:ascii="Cambria" w:hAnsi="Cambria"/>
          <w:noProof/>
        </w:rPr>
        <w:t>, 6–7.</w:t>
      </w:r>
    </w:p>
    <w:p w14:paraId="4B5B8E35" w14:textId="77777777" w:rsidR="000C3A23" w:rsidRPr="000C3A23" w:rsidRDefault="000C3A23" w:rsidP="000C3A23">
      <w:pPr>
        <w:widowControl w:val="0"/>
        <w:autoSpaceDE w:val="0"/>
        <w:autoSpaceDN w:val="0"/>
        <w:adjustRightInd w:val="0"/>
        <w:ind w:left="480" w:hanging="480"/>
        <w:rPr>
          <w:rFonts w:ascii="Cambria" w:hAnsi="Cambria"/>
          <w:noProof/>
        </w:rPr>
      </w:pPr>
      <w:r w:rsidRPr="000C3A23">
        <w:rPr>
          <w:rFonts w:ascii="Cambria" w:hAnsi="Cambria"/>
          <w:noProof/>
        </w:rPr>
        <w:t>Goodfellow, I. J., J. Pouget-Abadie, M. Mirza, B. Xu, D. Warde-Farley, S. Ozair, A. Courville, and Y. Bengio (2014), Generative Adversarial Networks, , 1–9.</w:t>
      </w:r>
    </w:p>
    <w:p w14:paraId="126B54CF" w14:textId="77777777" w:rsidR="000C3A23" w:rsidRPr="000C3A23" w:rsidRDefault="000C3A23" w:rsidP="000C3A23">
      <w:pPr>
        <w:widowControl w:val="0"/>
        <w:autoSpaceDE w:val="0"/>
        <w:autoSpaceDN w:val="0"/>
        <w:adjustRightInd w:val="0"/>
        <w:ind w:left="480" w:hanging="480"/>
        <w:rPr>
          <w:rFonts w:ascii="Cambria" w:hAnsi="Cambria"/>
          <w:noProof/>
        </w:rPr>
      </w:pPr>
      <w:r w:rsidRPr="000C3A23">
        <w:rPr>
          <w:rFonts w:ascii="Cambria" w:hAnsi="Cambria"/>
          <w:noProof/>
        </w:rPr>
        <w:t xml:space="preserve">Kohler, B. M. D., S. Hao, N. Mishra, R. Govindan, R. Nigbor, S. Jewell, and U. S. G. Survey (2015), </w:t>
      </w:r>
      <w:r w:rsidRPr="000C3A23">
        <w:rPr>
          <w:rFonts w:ascii="Cambria" w:hAnsi="Cambria"/>
          <w:i/>
          <w:iCs/>
          <w:noProof/>
        </w:rPr>
        <w:t>ShakeNet : A Portable Wireless Sensor Network for Instrumenting Large Civil Structures</w:t>
      </w:r>
      <w:r w:rsidRPr="000C3A23">
        <w:rPr>
          <w:rFonts w:ascii="Cambria" w:hAnsi="Cambria"/>
          <w:noProof/>
        </w:rPr>
        <w:t>.</w:t>
      </w:r>
    </w:p>
    <w:p w14:paraId="3AA13C9A" w14:textId="77777777" w:rsidR="000C3A23" w:rsidRPr="000C3A23" w:rsidRDefault="000C3A23" w:rsidP="000C3A23">
      <w:pPr>
        <w:widowControl w:val="0"/>
        <w:autoSpaceDE w:val="0"/>
        <w:autoSpaceDN w:val="0"/>
        <w:adjustRightInd w:val="0"/>
        <w:ind w:left="480" w:hanging="480"/>
        <w:rPr>
          <w:rFonts w:ascii="Cambria" w:hAnsi="Cambria"/>
          <w:noProof/>
        </w:rPr>
      </w:pPr>
      <w:r w:rsidRPr="000C3A23">
        <w:rPr>
          <w:rFonts w:ascii="Cambria" w:hAnsi="Cambria"/>
          <w:noProof/>
        </w:rPr>
        <w:t xml:space="preserve">Kohler, M. D., T. H. Heaton, and M.-H. Cheng (2013), The community seismic network and quake-catcher network: enabling structural health monitoring through instrumentation by community participants, </w:t>
      </w:r>
      <w:r w:rsidRPr="000C3A23">
        <w:rPr>
          <w:rFonts w:ascii="Cambria" w:hAnsi="Cambria"/>
          <w:i/>
          <w:iCs/>
          <w:noProof/>
        </w:rPr>
        <w:t>Proc. SPIE - Int. Soc. Opt. Eng.</w:t>
      </w:r>
      <w:r w:rsidRPr="000C3A23">
        <w:rPr>
          <w:rFonts w:ascii="Cambria" w:hAnsi="Cambria"/>
          <w:noProof/>
        </w:rPr>
        <w:t xml:space="preserve">, </w:t>
      </w:r>
      <w:r w:rsidRPr="000C3A23">
        <w:rPr>
          <w:rFonts w:ascii="Cambria" w:hAnsi="Cambria"/>
          <w:i/>
          <w:iCs/>
          <w:noProof/>
        </w:rPr>
        <w:t>8692</w:t>
      </w:r>
      <w:r w:rsidRPr="000C3A23">
        <w:rPr>
          <w:rFonts w:ascii="Cambria" w:hAnsi="Cambria"/>
          <w:noProof/>
        </w:rPr>
        <w:t>, 86923X, doi:10.1117/12.2010306.</w:t>
      </w:r>
    </w:p>
    <w:p w14:paraId="569EAAA6" w14:textId="77777777" w:rsidR="000C3A23" w:rsidRPr="000C3A23" w:rsidRDefault="000C3A23" w:rsidP="000C3A23">
      <w:pPr>
        <w:widowControl w:val="0"/>
        <w:autoSpaceDE w:val="0"/>
        <w:autoSpaceDN w:val="0"/>
        <w:adjustRightInd w:val="0"/>
        <w:ind w:left="480" w:hanging="480"/>
        <w:rPr>
          <w:rFonts w:ascii="Cambria" w:hAnsi="Cambria"/>
          <w:noProof/>
        </w:rPr>
      </w:pPr>
      <w:r w:rsidRPr="000C3A23">
        <w:rPr>
          <w:rFonts w:ascii="Cambria" w:hAnsi="Cambria"/>
          <w:noProof/>
        </w:rPr>
        <w:lastRenderedPageBreak/>
        <w:t xml:space="preserve">LeCun, Y., Y. Bengio, and G. Hinton (2015), Deep learning, </w:t>
      </w:r>
      <w:r w:rsidRPr="000C3A23">
        <w:rPr>
          <w:rFonts w:ascii="Cambria" w:hAnsi="Cambria"/>
          <w:i/>
          <w:iCs/>
          <w:noProof/>
        </w:rPr>
        <w:t>Nature</w:t>
      </w:r>
      <w:r w:rsidRPr="000C3A23">
        <w:rPr>
          <w:rFonts w:ascii="Cambria" w:hAnsi="Cambria"/>
          <w:noProof/>
        </w:rPr>
        <w:t xml:space="preserve">, </w:t>
      </w:r>
      <w:r w:rsidRPr="000C3A23">
        <w:rPr>
          <w:rFonts w:ascii="Cambria" w:hAnsi="Cambria"/>
          <w:i/>
          <w:iCs/>
          <w:noProof/>
        </w:rPr>
        <w:t>521</w:t>
      </w:r>
      <w:r w:rsidRPr="000C3A23">
        <w:rPr>
          <w:rFonts w:ascii="Cambria" w:hAnsi="Cambria"/>
          <w:noProof/>
        </w:rPr>
        <w:t>(7553), 436–444, doi:10.1038/nature14539.</w:t>
      </w:r>
    </w:p>
    <w:p w14:paraId="20057FD1" w14:textId="77777777" w:rsidR="000C3A23" w:rsidRPr="000C3A23" w:rsidRDefault="000C3A23" w:rsidP="000C3A23">
      <w:pPr>
        <w:widowControl w:val="0"/>
        <w:autoSpaceDE w:val="0"/>
        <w:autoSpaceDN w:val="0"/>
        <w:adjustRightInd w:val="0"/>
        <w:ind w:left="480" w:hanging="480"/>
        <w:rPr>
          <w:rFonts w:ascii="Cambria" w:hAnsi="Cambria"/>
          <w:noProof/>
        </w:rPr>
      </w:pPr>
      <w:r w:rsidRPr="000C3A23">
        <w:rPr>
          <w:rFonts w:ascii="Cambria" w:hAnsi="Cambria"/>
          <w:noProof/>
        </w:rPr>
        <w:t xml:space="preserve">Lenardic, A. (2017), PLATE TECTONICS A supercontinental boost, </w:t>
      </w:r>
      <w:r w:rsidRPr="000C3A23">
        <w:rPr>
          <w:rFonts w:ascii="Cambria" w:hAnsi="Cambria"/>
          <w:i/>
          <w:iCs/>
          <w:noProof/>
        </w:rPr>
        <w:t>Nat. Publ. Gr.</w:t>
      </w:r>
      <w:r w:rsidRPr="000C3A23">
        <w:rPr>
          <w:rFonts w:ascii="Cambria" w:hAnsi="Cambria"/>
          <w:noProof/>
        </w:rPr>
        <w:t xml:space="preserve">, </w:t>
      </w:r>
      <w:r w:rsidRPr="000C3A23">
        <w:rPr>
          <w:rFonts w:ascii="Cambria" w:hAnsi="Cambria"/>
          <w:i/>
          <w:iCs/>
          <w:noProof/>
        </w:rPr>
        <w:t>10</w:t>
      </w:r>
      <w:r w:rsidRPr="000C3A23">
        <w:rPr>
          <w:rFonts w:ascii="Cambria" w:hAnsi="Cambria"/>
          <w:noProof/>
        </w:rPr>
        <w:t>(1), 4–5, doi:10.1038/ngeo2862.</w:t>
      </w:r>
    </w:p>
    <w:p w14:paraId="0E0542C8" w14:textId="77777777" w:rsidR="000C3A23" w:rsidRPr="000C3A23" w:rsidRDefault="000C3A23" w:rsidP="000C3A23">
      <w:pPr>
        <w:widowControl w:val="0"/>
        <w:autoSpaceDE w:val="0"/>
        <w:autoSpaceDN w:val="0"/>
        <w:adjustRightInd w:val="0"/>
        <w:ind w:left="480" w:hanging="480"/>
        <w:rPr>
          <w:rFonts w:ascii="Cambria" w:hAnsi="Cambria"/>
          <w:noProof/>
        </w:rPr>
      </w:pPr>
      <w:r w:rsidRPr="000C3A23">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0C3A23">
        <w:rPr>
          <w:rFonts w:ascii="Cambria" w:hAnsi="Cambria"/>
          <w:i/>
          <w:iCs/>
          <w:noProof/>
        </w:rPr>
        <w:t>Nature</w:t>
      </w:r>
      <w:r w:rsidRPr="000C3A23">
        <w:rPr>
          <w:rFonts w:ascii="Cambria" w:hAnsi="Cambria"/>
          <w:noProof/>
        </w:rPr>
        <w:t xml:space="preserve">, </w:t>
      </w:r>
      <w:r w:rsidRPr="000C3A23">
        <w:rPr>
          <w:rFonts w:ascii="Cambria" w:hAnsi="Cambria"/>
          <w:i/>
          <w:iCs/>
          <w:noProof/>
        </w:rPr>
        <w:t>472</w:t>
      </w:r>
      <w:r w:rsidRPr="000C3A23">
        <w:rPr>
          <w:rFonts w:ascii="Cambria" w:hAnsi="Cambria"/>
          <w:noProof/>
        </w:rPr>
        <w:t>(7344), 461–465, doi:10.1038/nature10001.</w:t>
      </w:r>
    </w:p>
    <w:p w14:paraId="7ADF9B90" w14:textId="77777777" w:rsidR="000C3A23" w:rsidRPr="000C3A23" w:rsidRDefault="000C3A23" w:rsidP="000C3A23">
      <w:pPr>
        <w:widowControl w:val="0"/>
        <w:autoSpaceDE w:val="0"/>
        <w:autoSpaceDN w:val="0"/>
        <w:adjustRightInd w:val="0"/>
        <w:ind w:left="480" w:hanging="480"/>
        <w:rPr>
          <w:rFonts w:ascii="Cambria" w:hAnsi="Cambria"/>
          <w:noProof/>
        </w:rPr>
      </w:pPr>
      <w:r w:rsidRPr="000C3A23">
        <w:rPr>
          <w:rFonts w:ascii="Cambria" w:hAnsi="Cambria"/>
          <w:noProof/>
        </w:rPr>
        <w:t xml:space="preserve">Long, M. D., A. Levander, and P. M. Shearer (2014), An introduction to the special issue of Earth and Planetary Science Letters on USArray science, </w:t>
      </w:r>
      <w:r w:rsidRPr="000C3A23">
        <w:rPr>
          <w:rFonts w:ascii="Cambria" w:hAnsi="Cambria"/>
          <w:i/>
          <w:iCs/>
          <w:noProof/>
        </w:rPr>
        <w:t>Earth Planet. Sci. Lett.</w:t>
      </w:r>
      <w:r w:rsidRPr="000C3A23">
        <w:rPr>
          <w:rFonts w:ascii="Cambria" w:hAnsi="Cambria"/>
          <w:noProof/>
        </w:rPr>
        <w:t xml:space="preserve">, </w:t>
      </w:r>
      <w:r w:rsidRPr="000C3A23">
        <w:rPr>
          <w:rFonts w:ascii="Cambria" w:hAnsi="Cambria"/>
          <w:i/>
          <w:iCs/>
          <w:noProof/>
        </w:rPr>
        <w:t>1</w:t>
      </w:r>
      <w:r w:rsidRPr="000C3A23">
        <w:rPr>
          <w:rFonts w:ascii="Cambria" w:hAnsi="Cambria"/>
          <w:noProof/>
        </w:rPr>
        <w:t>(September 2014), 1–5, doi:10.1016/j.epsl.2014.06.016.</w:t>
      </w:r>
    </w:p>
    <w:p w14:paraId="6F5FEA41" w14:textId="77777777" w:rsidR="000C3A23" w:rsidRPr="000C3A23" w:rsidRDefault="000C3A23" w:rsidP="000C3A23">
      <w:pPr>
        <w:widowControl w:val="0"/>
        <w:autoSpaceDE w:val="0"/>
        <w:autoSpaceDN w:val="0"/>
        <w:adjustRightInd w:val="0"/>
        <w:ind w:left="480" w:hanging="480"/>
        <w:rPr>
          <w:rFonts w:ascii="Cambria" w:hAnsi="Cambria"/>
          <w:noProof/>
        </w:rPr>
      </w:pPr>
      <w:r w:rsidRPr="000C3A23">
        <w:rPr>
          <w:rFonts w:ascii="Cambria" w:hAnsi="Cambria"/>
          <w:noProof/>
        </w:rPr>
        <w:t xml:space="preserve">Massari, A., M. Kohler, R. Clayton, R. Guy, T. Heaton, J. Bunn, K. M. Chandy, and D. Demetri (2017), DENSE BUILDING INSTRUMENTATION APPLICATION FOR CITY-WIDE STRUCTURAL HEALTH MONITORING, in </w:t>
      </w:r>
      <w:r w:rsidRPr="000C3A23">
        <w:rPr>
          <w:rFonts w:ascii="Cambria" w:hAnsi="Cambria"/>
          <w:i/>
          <w:iCs/>
          <w:noProof/>
        </w:rPr>
        <w:t>16th World Conference on Earthquake</w:t>
      </w:r>
      <w:r w:rsidRPr="000C3A23">
        <w:rPr>
          <w:rFonts w:ascii="Cambria" w:hAnsi="Cambria"/>
          <w:noProof/>
        </w:rPr>
        <w:t>.</w:t>
      </w:r>
    </w:p>
    <w:p w14:paraId="4DAAC50F" w14:textId="77777777" w:rsidR="000C3A23" w:rsidRPr="000C3A23" w:rsidRDefault="000C3A23" w:rsidP="000C3A23">
      <w:pPr>
        <w:widowControl w:val="0"/>
        <w:autoSpaceDE w:val="0"/>
        <w:autoSpaceDN w:val="0"/>
        <w:adjustRightInd w:val="0"/>
        <w:ind w:left="480" w:hanging="480"/>
        <w:rPr>
          <w:rFonts w:ascii="Cambria" w:hAnsi="Cambria"/>
          <w:noProof/>
        </w:rPr>
      </w:pPr>
      <w:r w:rsidRPr="000C3A23">
        <w:rPr>
          <w:rFonts w:ascii="Cambria" w:hAnsi="Cambria"/>
          <w:noProof/>
        </w:rPr>
        <w:t xml:space="preserve">Mishra, J. K., and R. G. Gordon (2016), The rigid-plate and shrinking-plate hypotheses: Implications for the azimuths of transform faults, </w:t>
      </w:r>
      <w:r w:rsidRPr="000C3A23">
        <w:rPr>
          <w:rFonts w:ascii="Cambria" w:hAnsi="Cambria"/>
          <w:i/>
          <w:iCs/>
          <w:noProof/>
        </w:rPr>
        <w:t>Tectonics</w:t>
      </w:r>
      <w:r w:rsidRPr="000C3A23">
        <w:rPr>
          <w:rFonts w:ascii="Cambria" w:hAnsi="Cambria"/>
          <w:noProof/>
        </w:rPr>
        <w:t xml:space="preserve">, </w:t>
      </w:r>
      <w:r w:rsidRPr="000C3A23">
        <w:rPr>
          <w:rFonts w:ascii="Cambria" w:hAnsi="Cambria"/>
          <w:i/>
          <w:iCs/>
          <w:noProof/>
        </w:rPr>
        <w:t>35</w:t>
      </w:r>
      <w:r w:rsidRPr="000C3A23">
        <w:rPr>
          <w:rFonts w:ascii="Cambria" w:hAnsi="Cambria"/>
          <w:noProof/>
        </w:rPr>
        <w:t>(8), 1827–1842, doi:10.1002/2015TC003968.</w:t>
      </w:r>
    </w:p>
    <w:p w14:paraId="2B56BD9F" w14:textId="77777777" w:rsidR="000C3A23" w:rsidRPr="000C3A23" w:rsidRDefault="000C3A23" w:rsidP="000C3A23">
      <w:pPr>
        <w:widowControl w:val="0"/>
        <w:autoSpaceDE w:val="0"/>
        <w:autoSpaceDN w:val="0"/>
        <w:adjustRightInd w:val="0"/>
        <w:ind w:left="480" w:hanging="480"/>
        <w:rPr>
          <w:rFonts w:ascii="Cambria" w:hAnsi="Cambria"/>
          <w:noProof/>
        </w:rPr>
      </w:pPr>
      <w:r w:rsidRPr="000C3A23">
        <w:rPr>
          <w:rFonts w:ascii="Cambria" w:hAnsi="Cambria"/>
          <w:noProof/>
        </w:rPr>
        <w:t xml:space="preserve">NAEEM ZAFAR, V. C. (2011), If you build it, they will come, </w:t>
      </w:r>
      <w:r w:rsidRPr="000C3A23">
        <w:rPr>
          <w:rFonts w:ascii="Cambria" w:hAnsi="Cambria"/>
          <w:i/>
          <w:iCs/>
          <w:noProof/>
        </w:rPr>
        <w:t>Berkeley - Haas Case Ser.</w:t>
      </w:r>
    </w:p>
    <w:p w14:paraId="39B54930" w14:textId="77777777" w:rsidR="000C3A23" w:rsidRPr="000C3A23" w:rsidRDefault="000C3A23" w:rsidP="000C3A23">
      <w:pPr>
        <w:widowControl w:val="0"/>
        <w:autoSpaceDE w:val="0"/>
        <w:autoSpaceDN w:val="0"/>
        <w:adjustRightInd w:val="0"/>
        <w:ind w:left="480" w:hanging="480"/>
        <w:rPr>
          <w:rFonts w:ascii="Cambria" w:hAnsi="Cambria"/>
          <w:noProof/>
        </w:rPr>
      </w:pPr>
      <w:r w:rsidRPr="000C3A23">
        <w:rPr>
          <w:rFonts w:ascii="Cambria" w:hAnsi="Cambria"/>
          <w:noProof/>
        </w:rPr>
        <w:t xml:space="preserve">Niu, F., P. G. Silver, R. M. Nadeau, and T. V. McEvilly (2003), Migration of seismic scatterers associated with the 1993 Parkfield aseismic transient event, </w:t>
      </w:r>
      <w:r w:rsidRPr="000C3A23">
        <w:rPr>
          <w:rFonts w:ascii="Cambria" w:hAnsi="Cambria"/>
          <w:i/>
          <w:iCs/>
          <w:noProof/>
        </w:rPr>
        <w:t>Nature</w:t>
      </w:r>
      <w:r w:rsidRPr="000C3A23">
        <w:rPr>
          <w:rFonts w:ascii="Cambria" w:hAnsi="Cambria"/>
          <w:noProof/>
        </w:rPr>
        <w:t xml:space="preserve">, </w:t>
      </w:r>
      <w:r w:rsidRPr="000C3A23">
        <w:rPr>
          <w:rFonts w:ascii="Cambria" w:hAnsi="Cambria"/>
          <w:i/>
          <w:iCs/>
          <w:noProof/>
        </w:rPr>
        <w:t>426</w:t>
      </w:r>
      <w:r w:rsidRPr="000C3A23">
        <w:rPr>
          <w:rFonts w:ascii="Cambria" w:hAnsi="Cambria"/>
          <w:noProof/>
        </w:rPr>
        <w:t>(6966), 544–548, doi:10.1038/nature02151.</w:t>
      </w:r>
    </w:p>
    <w:p w14:paraId="7AC59AC3" w14:textId="77777777" w:rsidR="000C3A23" w:rsidRPr="000C3A23" w:rsidRDefault="000C3A23" w:rsidP="000C3A23">
      <w:pPr>
        <w:widowControl w:val="0"/>
        <w:autoSpaceDE w:val="0"/>
        <w:autoSpaceDN w:val="0"/>
        <w:adjustRightInd w:val="0"/>
        <w:ind w:left="480" w:hanging="480"/>
        <w:rPr>
          <w:rFonts w:ascii="Cambria" w:hAnsi="Cambria"/>
          <w:noProof/>
        </w:rPr>
      </w:pPr>
      <w:r w:rsidRPr="000C3A23">
        <w:rPr>
          <w:rFonts w:ascii="Cambria" w:hAnsi="Cambria"/>
          <w:noProof/>
        </w:rPr>
        <w:t xml:space="preserve">Ruano, A. E., G. Madureira, O. Barros, H. R. Khosravani, M. G. Ruano, and P. M. Ferreira (2014), Seismic detection using support vector machines, </w:t>
      </w:r>
      <w:r w:rsidRPr="000C3A23">
        <w:rPr>
          <w:rFonts w:ascii="Cambria" w:hAnsi="Cambria"/>
          <w:i/>
          <w:iCs/>
          <w:noProof/>
        </w:rPr>
        <w:t>Neurocomputing</w:t>
      </w:r>
      <w:r w:rsidRPr="000C3A23">
        <w:rPr>
          <w:rFonts w:ascii="Cambria" w:hAnsi="Cambria"/>
          <w:noProof/>
        </w:rPr>
        <w:t xml:space="preserve">, </w:t>
      </w:r>
      <w:r w:rsidRPr="000C3A23">
        <w:rPr>
          <w:rFonts w:ascii="Cambria" w:hAnsi="Cambria"/>
          <w:i/>
          <w:iCs/>
          <w:noProof/>
        </w:rPr>
        <w:t>135</w:t>
      </w:r>
      <w:r w:rsidRPr="000C3A23">
        <w:rPr>
          <w:rFonts w:ascii="Cambria" w:hAnsi="Cambria"/>
          <w:noProof/>
        </w:rPr>
        <w:t>(January), 273–283, doi:10.1016/j.neucom.2013.12.020.</w:t>
      </w:r>
    </w:p>
    <w:p w14:paraId="09CF335D" w14:textId="77777777" w:rsidR="000C3A23" w:rsidRPr="000C3A23" w:rsidRDefault="000C3A23" w:rsidP="000C3A23">
      <w:pPr>
        <w:widowControl w:val="0"/>
        <w:autoSpaceDE w:val="0"/>
        <w:autoSpaceDN w:val="0"/>
        <w:adjustRightInd w:val="0"/>
        <w:ind w:left="480" w:hanging="480"/>
        <w:rPr>
          <w:rFonts w:ascii="Cambria" w:hAnsi="Cambria"/>
          <w:noProof/>
        </w:rPr>
      </w:pPr>
      <w:r w:rsidRPr="000C3A23">
        <w:rPr>
          <w:rFonts w:ascii="Cambria" w:hAnsi="Cambria"/>
          <w:noProof/>
        </w:rPr>
        <w:t xml:space="preserve">Sahlman, W. A. (2009), Dr. John’s Products, Ltd., </w:t>
      </w:r>
      <w:r w:rsidRPr="000C3A23">
        <w:rPr>
          <w:rFonts w:ascii="Cambria" w:hAnsi="Cambria"/>
          <w:i/>
          <w:iCs/>
          <w:noProof/>
        </w:rPr>
        <w:t>Harv. Bus. Rev.</w:t>
      </w:r>
      <w:r w:rsidRPr="000C3A23">
        <w:rPr>
          <w:rFonts w:ascii="Cambria" w:hAnsi="Cambria"/>
          <w:noProof/>
        </w:rPr>
        <w:t>, (January), 1–22.</w:t>
      </w:r>
    </w:p>
    <w:p w14:paraId="6CF22876" w14:textId="77777777" w:rsidR="000C3A23" w:rsidRPr="000C3A23" w:rsidRDefault="000C3A23" w:rsidP="000C3A23">
      <w:pPr>
        <w:widowControl w:val="0"/>
        <w:autoSpaceDE w:val="0"/>
        <w:autoSpaceDN w:val="0"/>
        <w:adjustRightInd w:val="0"/>
        <w:ind w:left="480" w:hanging="480"/>
        <w:rPr>
          <w:rFonts w:ascii="Cambria" w:hAnsi="Cambria"/>
          <w:noProof/>
        </w:rPr>
      </w:pPr>
      <w:r w:rsidRPr="000C3A23">
        <w:rPr>
          <w:rFonts w:ascii="Cambria" w:hAnsi="Cambria"/>
          <w:noProof/>
        </w:rPr>
        <w:t xml:space="preserve">Shirzaei, M., W. L. Ellsworth, K. F. Tiampo, P. J. Gonzalez, and M. Manga (2016), Surface uplift and time-dependent seismic hazard due to fluid injection in eastern Texas, </w:t>
      </w:r>
      <w:r w:rsidRPr="000C3A23">
        <w:rPr>
          <w:rFonts w:ascii="Cambria" w:hAnsi="Cambria"/>
          <w:i/>
          <w:iCs/>
          <w:noProof/>
        </w:rPr>
        <w:t>Science (80-. ).</w:t>
      </w:r>
      <w:r w:rsidRPr="000C3A23">
        <w:rPr>
          <w:rFonts w:ascii="Cambria" w:hAnsi="Cambria"/>
          <w:noProof/>
        </w:rPr>
        <w:t xml:space="preserve">, </w:t>
      </w:r>
      <w:r w:rsidRPr="000C3A23">
        <w:rPr>
          <w:rFonts w:ascii="Cambria" w:hAnsi="Cambria"/>
          <w:i/>
          <w:iCs/>
          <w:noProof/>
        </w:rPr>
        <w:t>353</w:t>
      </w:r>
      <w:r w:rsidRPr="000C3A23">
        <w:rPr>
          <w:rFonts w:ascii="Cambria" w:hAnsi="Cambria"/>
          <w:noProof/>
        </w:rPr>
        <w:t>(6306), 1416–1419, doi:10.1126/science.aag0262.</w:t>
      </w:r>
    </w:p>
    <w:p w14:paraId="2107211E" w14:textId="77777777" w:rsidR="000C3A23" w:rsidRPr="000C3A23" w:rsidRDefault="000C3A23" w:rsidP="000C3A23">
      <w:pPr>
        <w:widowControl w:val="0"/>
        <w:autoSpaceDE w:val="0"/>
        <w:autoSpaceDN w:val="0"/>
        <w:adjustRightInd w:val="0"/>
        <w:ind w:left="480" w:hanging="480"/>
        <w:rPr>
          <w:rFonts w:ascii="Cambria" w:hAnsi="Cambria"/>
          <w:noProof/>
        </w:rPr>
      </w:pPr>
      <w:r w:rsidRPr="000C3A23">
        <w:rPr>
          <w:rFonts w:ascii="Cambria" w:hAnsi="Cambria"/>
          <w:noProof/>
        </w:rPr>
        <w:t xml:space="preserve">Taira, T., P. G. Silver, F. Niu, and R. M. Nadeau (2009), Remote triggering of fault-strength changes on the San Andreas fault at Parkfield, </w:t>
      </w:r>
      <w:r w:rsidRPr="000C3A23">
        <w:rPr>
          <w:rFonts w:ascii="Cambria" w:hAnsi="Cambria"/>
          <w:i/>
          <w:iCs/>
          <w:noProof/>
        </w:rPr>
        <w:t>Nature</w:t>
      </w:r>
      <w:r w:rsidRPr="000C3A23">
        <w:rPr>
          <w:rFonts w:ascii="Cambria" w:hAnsi="Cambria"/>
          <w:noProof/>
        </w:rPr>
        <w:t xml:space="preserve">, </w:t>
      </w:r>
      <w:r w:rsidRPr="000C3A23">
        <w:rPr>
          <w:rFonts w:ascii="Cambria" w:hAnsi="Cambria"/>
          <w:i/>
          <w:iCs/>
          <w:noProof/>
        </w:rPr>
        <w:t>461</w:t>
      </w:r>
      <w:r w:rsidRPr="000C3A23">
        <w:rPr>
          <w:rFonts w:ascii="Cambria" w:hAnsi="Cambria"/>
          <w:noProof/>
        </w:rPr>
        <w:t>(7264), 636–639, doi:10.1038/nature08395.</w:t>
      </w:r>
    </w:p>
    <w:p w14:paraId="298E4541" w14:textId="77777777" w:rsidR="000C3A23" w:rsidRPr="000C3A23" w:rsidRDefault="000C3A23" w:rsidP="000C3A23">
      <w:pPr>
        <w:widowControl w:val="0"/>
        <w:autoSpaceDE w:val="0"/>
        <w:autoSpaceDN w:val="0"/>
        <w:adjustRightInd w:val="0"/>
        <w:ind w:left="480" w:hanging="480"/>
        <w:rPr>
          <w:rFonts w:ascii="Cambria" w:hAnsi="Cambria"/>
          <w:noProof/>
        </w:rPr>
      </w:pPr>
      <w:r w:rsidRPr="000C3A23">
        <w:rPr>
          <w:rFonts w:ascii="Cambria" w:hAnsi="Cambria"/>
          <w:noProof/>
        </w:rPr>
        <w:lastRenderedPageBreak/>
        <w:t xml:space="preserve">Yoffie, D. B., and R. Kim (2009), E Ink in 2008, </w:t>
      </w:r>
      <w:r w:rsidRPr="000C3A23">
        <w:rPr>
          <w:rFonts w:ascii="Cambria" w:hAnsi="Cambria"/>
          <w:i/>
          <w:iCs/>
          <w:noProof/>
        </w:rPr>
        <w:t>Harv. Bus. Rev.</w:t>
      </w:r>
      <w:r w:rsidRPr="000C3A23">
        <w:rPr>
          <w:rFonts w:ascii="Cambria" w:hAnsi="Cambria"/>
          <w:noProof/>
        </w:rPr>
        <w:t>, (February), 1–5.</w:t>
      </w:r>
    </w:p>
    <w:p w14:paraId="5203A1C8" w14:textId="77777777" w:rsidR="000C3A23" w:rsidRPr="000C3A23" w:rsidRDefault="000C3A23" w:rsidP="000C3A23">
      <w:pPr>
        <w:widowControl w:val="0"/>
        <w:autoSpaceDE w:val="0"/>
        <w:autoSpaceDN w:val="0"/>
        <w:adjustRightInd w:val="0"/>
        <w:ind w:left="480" w:hanging="480"/>
        <w:rPr>
          <w:rFonts w:ascii="Cambria" w:hAnsi="Cambria"/>
          <w:noProof/>
        </w:rPr>
      </w:pPr>
      <w:r w:rsidRPr="000C3A23">
        <w:rPr>
          <w:rFonts w:ascii="Cambria" w:hAnsi="Cambria"/>
          <w:noProof/>
        </w:rPr>
        <w:t xml:space="preserve">Zheng, L., R. G. Gordon, and C. Kreemer (2014), Absolute plate velocities from seismic anisotropy: Importance of correlated errors, </w:t>
      </w:r>
      <w:r w:rsidRPr="000C3A23">
        <w:rPr>
          <w:rFonts w:ascii="Cambria" w:hAnsi="Cambria"/>
          <w:i/>
          <w:iCs/>
          <w:noProof/>
        </w:rPr>
        <w:t>J. Geophys. Res. Solid Earth</w:t>
      </w:r>
      <w:r w:rsidRPr="000C3A23">
        <w:rPr>
          <w:rFonts w:ascii="Cambria" w:hAnsi="Cambria"/>
          <w:noProof/>
        </w:rPr>
        <w:t xml:space="preserve">, </w:t>
      </w:r>
      <w:r w:rsidRPr="000C3A23">
        <w:rPr>
          <w:rFonts w:ascii="Cambria" w:hAnsi="Cambria"/>
          <w:i/>
          <w:iCs/>
          <w:noProof/>
        </w:rPr>
        <w:t>119</w:t>
      </w:r>
      <w:r w:rsidRPr="000C3A23">
        <w:rPr>
          <w:rFonts w:ascii="Cambria" w:hAnsi="Cambria"/>
          <w:noProof/>
        </w:rPr>
        <w:t>(9), 7336–7352, doi:10.1002/2013JB010902.</w:t>
      </w:r>
    </w:p>
    <w:p w14:paraId="45C987C7" w14:textId="51199F26" w:rsidR="000C1D18" w:rsidRDefault="000C1D18" w:rsidP="000C3A23">
      <w:pPr>
        <w:widowControl w:val="0"/>
        <w:autoSpaceDE w:val="0"/>
        <w:autoSpaceDN w:val="0"/>
        <w:adjustRightInd w:val="0"/>
        <w:ind w:left="480" w:hanging="480"/>
      </w:pPr>
      <w:r>
        <w:fldChar w:fldCharType="end"/>
      </w: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4118"/>
    <w:rsid w:val="00020C8B"/>
    <w:rsid w:val="00025C1B"/>
    <w:rsid w:val="00036FB5"/>
    <w:rsid w:val="00052381"/>
    <w:rsid w:val="00062CC0"/>
    <w:rsid w:val="00076F6D"/>
    <w:rsid w:val="000772F3"/>
    <w:rsid w:val="00094E22"/>
    <w:rsid w:val="000A4904"/>
    <w:rsid w:val="000A56F1"/>
    <w:rsid w:val="000A75ED"/>
    <w:rsid w:val="000C1D18"/>
    <w:rsid w:val="000C3A23"/>
    <w:rsid w:val="000C7DC6"/>
    <w:rsid w:val="000D3DD9"/>
    <w:rsid w:val="00115224"/>
    <w:rsid w:val="001228C1"/>
    <w:rsid w:val="001249D8"/>
    <w:rsid w:val="00137AF6"/>
    <w:rsid w:val="00147DBD"/>
    <w:rsid w:val="001556CF"/>
    <w:rsid w:val="001801C0"/>
    <w:rsid w:val="001963BF"/>
    <w:rsid w:val="001B4728"/>
    <w:rsid w:val="001C1ED1"/>
    <w:rsid w:val="0020732F"/>
    <w:rsid w:val="002161BB"/>
    <w:rsid w:val="00221C6E"/>
    <w:rsid w:val="00224414"/>
    <w:rsid w:val="002300EB"/>
    <w:rsid w:val="002435A3"/>
    <w:rsid w:val="0028094F"/>
    <w:rsid w:val="002C26D3"/>
    <w:rsid w:val="002D0734"/>
    <w:rsid w:val="002D0F80"/>
    <w:rsid w:val="002E0129"/>
    <w:rsid w:val="002E500A"/>
    <w:rsid w:val="00310C45"/>
    <w:rsid w:val="003171E5"/>
    <w:rsid w:val="00341AD6"/>
    <w:rsid w:val="00377555"/>
    <w:rsid w:val="00381EC0"/>
    <w:rsid w:val="00385095"/>
    <w:rsid w:val="003B03E6"/>
    <w:rsid w:val="003D0024"/>
    <w:rsid w:val="003D67D2"/>
    <w:rsid w:val="003E25ED"/>
    <w:rsid w:val="003F10A4"/>
    <w:rsid w:val="003F682B"/>
    <w:rsid w:val="00410A65"/>
    <w:rsid w:val="00411E85"/>
    <w:rsid w:val="00430750"/>
    <w:rsid w:val="00463781"/>
    <w:rsid w:val="004827A9"/>
    <w:rsid w:val="00482E26"/>
    <w:rsid w:val="004B71E6"/>
    <w:rsid w:val="004E7467"/>
    <w:rsid w:val="004F549A"/>
    <w:rsid w:val="00502AF3"/>
    <w:rsid w:val="0050345A"/>
    <w:rsid w:val="0050518E"/>
    <w:rsid w:val="00527CDB"/>
    <w:rsid w:val="0054763B"/>
    <w:rsid w:val="00572988"/>
    <w:rsid w:val="0058013C"/>
    <w:rsid w:val="00582600"/>
    <w:rsid w:val="00590779"/>
    <w:rsid w:val="00595090"/>
    <w:rsid w:val="00595B44"/>
    <w:rsid w:val="005D4DD5"/>
    <w:rsid w:val="006044C4"/>
    <w:rsid w:val="006074CF"/>
    <w:rsid w:val="0063028C"/>
    <w:rsid w:val="006402B8"/>
    <w:rsid w:val="00643A10"/>
    <w:rsid w:val="006608E9"/>
    <w:rsid w:val="00667C5E"/>
    <w:rsid w:val="00697097"/>
    <w:rsid w:val="006A458D"/>
    <w:rsid w:val="006B467C"/>
    <w:rsid w:val="006C0123"/>
    <w:rsid w:val="006D4323"/>
    <w:rsid w:val="006E592C"/>
    <w:rsid w:val="006F60B2"/>
    <w:rsid w:val="0070150D"/>
    <w:rsid w:val="00743289"/>
    <w:rsid w:val="00746C7B"/>
    <w:rsid w:val="00773882"/>
    <w:rsid w:val="00780D09"/>
    <w:rsid w:val="007930B2"/>
    <w:rsid w:val="00796C7C"/>
    <w:rsid w:val="007E27F4"/>
    <w:rsid w:val="0083037E"/>
    <w:rsid w:val="008535E1"/>
    <w:rsid w:val="00887131"/>
    <w:rsid w:val="00897643"/>
    <w:rsid w:val="008C08E5"/>
    <w:rsid w:val="008F0C99"/>
    <w:rsid w:val="008F1D69"/>
    <w:rsid w:val="00901361"/>
    <w:rsid w:val="00904A2D"/>
    <w:rsid w:val="00926A18"/>
    <w:rsid w:val="00933904"/>
    <w:rsid w:val="00940474"/>
    <w:rsid w:val="0095192E"/>
    <w:rsid w:val="00967058"/>
    <w:rsid w:val="00975F1A"/>
    <w:rsid w:val="00995522"/>
    <w:rsid w:val="009B1D65"/>
    <w:rsid w:val="009D6DA1"/>
    <w:rsid w:val="009E04CB"/>
    <w:rsid w:val="009E1805"/>
    <w:rsid w:val="00A05AE8"/>
    <w:rsid w:val="00A1105E"/>
    <w:rsid w:val="00A135E9"/>
    <w:rsid w:val="00A164FF"/>
    <w:rsid w:val="00A3597C"/>
    <w:rsid w:val="00A66DBE"/>
    <w:rsid w:val="00A803DD"/>
    <w:rsid w:val="00A943BB"/>
    <w:rsid w:val="00AA5951"/>
    <w:rsid w:val="00AC7FFE"/>
    <w:rsid w:val="00AE229F"/>
    <w:rsid w:val="00AE2A7E"/>
    <w:rsid w:val="00AE7B6D"/>
    <w:rsid w:val="00B40898"/>
    <w:rsid w:val="00B50701"/>
    <w:rsid w:val="00B73F4F"/>
    <w:rsid w:val="00B75777"/>
    <w:rsid w:val="00B80625"/>
    <w:rsid w:val="00B91029"/>
    <w:rsid w:val="00BA1FFA"/>
    <w:rsid w:val="00C012E6"/>
    <w:rsid w:val="00C02AE2"/>
    <w:rsid w:val="00C0427C"/>
    <w:rsid w:val="00C062BE"/>
    <w:rsid w:val="00C17349"/>
    <w:rsid w:val="00C22E78"/>
    <w:rsid w:val="00C41EF3"/>
    <w:rsid w:val="00C500FE"/>
    <w:rsid w:val="00C532E0"/>
    <w:rsid w:val="00CA009D"/>
    <w:rsid w:val="00CA7BA7"/>
    <w:rsid w:val="00CD33A8"/>
    <w:rsid w:val="00D173E7"/>
    <w:rsid w:val="00D457FE"/>
    <w:rsid w:val="00D83FEC"/>
    <w:rsid w:val="00D866BD"/>
    <w:rsid w:val="00DA464D"/>
    <w:rsid w:val="00DC14FD"/>
    <w:rsid w:val="00DE6770"/>
    <w:rsid w:val="00DF42EC"/>
    <w:rsid w:val="00DF614D"/>
    <w:rsid w:val="00E83881"/>
    <w:rsid w:val="00E872B0"/>
    <w:rsid w:val="00E9370F"/>
    <w:rsid w:val="00E94863"/>
    <w:rsid w:val="00EA1D08"/>
    <w:rsid w:val="00EC2E25"/>
    <w:rsid w:val="00EF6DCA"/>
    <w:rsid w:val="00F21D92"/>
    <w:rsid w:val="00F44BF9"/>
    <w:rsid w:val="00F4589A"/>
    <w:rsid w:val="00F942A5"/>
    <w:rsid w:val="00FB6F70"/>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9</Pages>
  <Words>10049</Words>
  <Characters>57283</Characters>
  <Application>Microsoft Macintosh Word</Application>
  <DocSecurity>0</DocSecurity>
  <Lines>477</Lines>
  <Paragraphs>134</Paragraphs>
  <ScaleCrop>false</ScaleCrop>
  <Company>UC Berkeley</Company>
  <LinksUpToDate>false</LinksUpToDate>
  <CharactersWithSpaces>67198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165</cp:revision>
  <dcterms:created xsi:type="dcterms:W3CDTF">2017-01-02T19:00:00Z</dcterms:created>
  <dcterms:modified xsi:type="dcterms:W3CDTF">2017-02-20T07:42:00Z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