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CAF74A9" w:rsidR="00B50701" w:rsidRDefault="00B50701">
      <w:r>
        <w:fldChar w:fldCharType="begin" w:fldLock="1"/>
      </w:r>
      <w:r w:rsidR="008C08E5">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25A24BFC" w:rsidR="00B50701" w:rsidRDefault="008C08E5" w:rsidP="00B50701">
      <w:r>
        <w:fldChar w:fldCharType="begin" w:fldLock="1"/>
      </w:r>
      <w:r w:rsidR="00F44BF9">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Pr="008C08E5">
        <w:rPr>
          <w:noProof/>
        </w:rPr>
        <w:t>[</w:t>
      </w:r>
      <w:r w:rsidRPr="008C08E5">
        <w:rPr>
          <w:i/>
          <w:noProof/>
        </w:rPr>
        <w:t>Shirzaei et al.</w:t>
      </w:r>
      <w:r w:rsidRPr="008C08E5">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12EA909C" w:rsidR="001C1ED1" w:rsidRDefault="00F44BF9" w:rsidP="00B50701">
      <w:r>
        <w:fldChar w:fldCharType="begin" w:fldLock="1"/>
      </w:r>
      <w:r w:rsidR="003E25ED">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Pr="00F44BF9">
        <w:rPr>
          <w:noProof/>
        </w:rPr>
        <w:t>[</w:t>
      </w:r>
      <w:r w:rsidRPr="00F44BF9">
        <w:rPr>
          <w:i/>
          <w:noProof/>
        </w:rPr>
        <w:t>Levander et al.</w:t>
      </w:r>
      <w:r w:rsidRPr="00F44BF9">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1EC70F26" w:rsidR="00773882" w:rsidRDefault="003E25ED" w:rsidP="00B50701">
      <w:r>
        <w:fldChar w:fldCharType="begin" w:fldLock="1"/>
      </w:r>
      <w:r w:rsidR="000C1D18">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Pr="003E25ED">
        <w:rPr>
          <w:noProof/>
        </w:rPr>
        <w:t>[</w:t>
      </w:r>
      <w:r w:rsidRPr="003E25ED">
        <w:rPr>
          <w:i/>
          <w:noProof/>
        </w:rPr>
        <w:t>Taira et al.</w:t>
      </w:r>
      <w:r w:rsidRPr="003E25ED">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1FCA5A29" w:rsidR="00F942A5" w:rsidRDefault="00A943BB" w:rsidP="00B50701">
      <w:r>
        <w:fldChar w:fldCharType="begin" w:fldLock="1"/>
      </w:r>
      <w:r w:rsidR="00780D09">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Pr="00A943BB">
        <w:rPr>
          <w:noProof/>
        </w:rPr>
        <w:t>[</w:t>
      </w:r>
      <w:r w:rsidRPr="00A943BB">
        <w:rPr>
          <w:i/>
          <w:noProof/>
        </w:rPr>
        <w:t>Bayrakci et al.</w:t>
      </w:r>
      <w:r w:rsidRPr="00A943BB">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045E466D" w:rsidR="00780D09" w:rsidRDefault="007E27F4" w:rsidP="00B50701">
      <w:r>
        <w:fldChar w:fldCharType="begin" w:fldLock="1"/>
      </w:r>
      <w:r w:rsidR="00780D09">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Pr="007E27F4">
        <w:rPr>
          <w:noProof/>
        </w:rPr>
        <w:t>[</w:t>
      </w:r>
      <w:r w:rsidRPr="007E27F4">
        <w:rPr>
          <w:i/>
          <w:noProof/>
        </w:rPr>
        <w:t>Lenardic</w:t>
      </w:r>
      <w:r w:rsidRPr="007E27F4">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0633188" w:rsidR="00940474" w:rsidRDefault="00780D09" w:rsidP="00B50701">
      <w:r>
        <w:fldChar w:fldCharType="begin" w:fldLock="1"/>
      </w:r>
      <w:r w:rsidR="00020C8B">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Pr="00780D09">
        <w:rPr>
          <w:noProof/>
        </w:rPr>
        <w:t>[</w:t>
      </w:r>
      <w:r w:rsidRPr="00780D09">
        <w:rPr>
          <w:i/>
          <w:noProof/>
        </w:rPr>
        <w:t>Mishra and Gordon</w:t>
      </w:r>
      <w:r w:rsidRPr="00780D09">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52D2BCF2" w:rsidR="00020C8B" w:rsidRDefault="00020C8B" w:rsidP="00B50701">
      <w:r>
        <w:fldChar w:fldCharType="begin" w:fldLock="1"/>
      </w:r>
      <w:r w:rsidR="00995522">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Pr="00020C8B">
        <w:rPr>
          <w:noProof/>
        </w:rPr>
        <w:t>[</w:t>
      </w:r>
      <w:r w:rsidRPr="00020C8B">
        <w:rPr>
          <w:i/>
          <w:noProof/>
        </w:rPr>
        <w:t>Zheng et al.</w:t>
      </w:r>
      <w:r w:rsidRPr="00020C8B">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562B0620" w:rsidR="00F942A5" w:rsidRDefault="00995522" w:rsidP="00B50701">
      <w:r>
        <w:fldChar w:fldCharType="begin" w:fldLock="1"/>
      </w:r>
      <w:r w:rsidR="00137AF6">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Pr="00995522">
        <w:rPr>
          <w:noProof/>
        </w:rPr>
        <w:t>[</w:t>
      </w:r>
      <w:r w:rsidRPr="00995522">
        <w:rPr>
          <w:i/>
          <w:noProof/>
        </w:rPr>
        <w:t>Niu et al.</w:t>
      </w:r>
      <w:r w:rsidRPr="00995522">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5DAE4C46" w:rsidR="00F942A5" w:rsidRDefault="00137AF6" w:rsidP="00B50701">
      <w:r>
        <w:fldChar w:fldCharType="begin" w:fldLock="1"/>
      </w:r>
      <w:r w:rsidR="009D6DA1">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Pr="00137AF6">
        <w:rPr>
          <w:noProof/>
        </w:rPr>
        <w:t>[</w:t>
      </w:r>
      <w:r w:rsidRPr="00137AF6">
        <w:rPr>
          <w:i/>
          <w:noProof/>
        </w:rPr>
        <w:t>LeCun et al.</w:t>
      </w:r>
      <w:r w:rsidRPr="00137AF6">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157C91B6" w:rsidR="009D6DA1" w:rsidRDefault="009D6DA1" w:rsidP="009D6DA1">
      <w:r>
        <w:fldChar w:fldCharType="begin" w:fldLock="1"/>
      </w:r>
      <w:r w:rsidR="00667C5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Pr="009D6DA1">
        <w:rPr>
          <w:noProof/>
        </w:rPr>
        <w:t>[</w:t>
      </w:r>
      <w:r w:rsidRPr="009D6DA1">
        <w:rPr>
          <w:i/>
          <w:noProof/>
        </w:rPr>
        <w:t>Long et al.</w:t>
      </w:r>
      <w:r w:rsidRPr="009D6DA1">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0AF3A6D0" w:rsidR="00667C5E" w:rsidRDefault="00667C5E" w:rsidP="00B50701">
      <w:r>
        <w:fldChar w:fldCharType="begin" w:fldLock="1"/>
      </w:r>
      <w:r w:rsidR="008F0C99">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Pr="00667C5E">
        <w:rPr>
          <w:noProof/>
        </w:rPr>
        <w:t>[</w:t>
      </w:r>
      <w:r w:rsidRPr="00667C5E">
        <w:rPr>
          <w:i/>
          <w:noProof/>
        </w:rPr>
        <w:t>Goodfellow et al.</w:t>
      </w:r>
      <w:r w:rsidRPr="00667C5E">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527CDB">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8F0C99" w:rsidRPr="008F0C99">
        <w:rPr>
          <w:noProof/>
        </w:rPr>
        <w:t>[</w:t>
      </w:r>
      <w:r w:rsidR="008F0C99" w:rsidRPr="008F0C99">
        <w:rPr>
          <w:i/>
          <w:noProof/>
        </w:rPr>
        <w:t>Focus</w:t>
      </w:r>
      <w:r w:rsidR="008F0C99" w:rsidRPr="008F0C99">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5F08B0A4" w:rsidR="00527CDB" w:rsidRDefault="00527CDB" w:rsidP="00B50701">
      <w:r>
        <w:fldChar w:fldCharType="begin" w:fldLock="1"/>
      </w:r>
      <w:r>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 "properties" : { "noteIndex" : 0 }, "schema" : "https://github.com/citation-style-language/schema/raw/master/csl-citation.json" }</w:instrText>
      </w:r>
      <w:r>
        <w:fldChar w:fldCharType="separate"/>
      </w:r>
      <w:r w:rsidRPr="00527CDB">
        <w:rPr>
          <w:noProof/>
        </w:rPr>
        <w:t>[</w:t>
      </w:r>
      <w:r w:rsidRPr="00527CDB">
        <w:rPr>
          <w:i/>
          <w:noProof/>
        </w:rPr>
        <w:t>Yoffie and Kim</w:t>
      </w:r>
      <w:r w:rsidRPr="00527CDB">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work on multiple things, focus on one important thing, and overcome the challenges, then it is much easier to success. </w:t>
      </w:r>
      <w:bookmarkStart w:id="0" w:name="_GoBack"/>
      <w:bookmarkEnd w:id="0"/>
    </w:p>
    <w:p w14:paraId="4B04E2AE" w14:textId="77777777" w:rsidR="009D6DA1" w:rsidRDefault="009D6DA1" w:rsidP="00B50701"/>
    <w:p w14:paraId="1DCFE159" w14:textId="77777777" w:rsidR="009D6DA1" w:rsidRDefault="009D6DA1" w:rsidP="00B50701"/>
    <w:p w14:paraId="58AB3F98" w14:textId="17B08B59" w:rsidR="00527CDB" w:rsidRPr="00527CDB" w:rsidRDefault="000C1D18" w:rsidP="00527CDB">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527CDB" w:rsidRPr="00527CDB">
        <w:rPr>
          <w:rFonts w:ascii="Cambria" w:hAnsi="Cambria"/>
          <w:noProof/>
        </w:rPr>
        <w:t xml:space="preserve">Bayrakci, G. et al. (2016), Fault-controlled hydration of the upper mantle during </w:t>
      </w:r>
      <w:r w:rsidR="00527CDB" w:rsidRPr="00527CDB">
        <w:rPr>
          <w:rFonts w:ascii="Cambria" w:hAnsi="Cambria"/>
          <w:noProof/>
        </w:rPr>
        <w:lastRenderedPageBreak/>
        <w:t xml:space="preserve">continental rifting, </w:t>
      </w:r>
      <w:r w:rsidR="00527CDB" w:rsidRPr="00527CDB">
        <w:rPr>
          <w:rFonts w:ascii="Cambria" w:hAnsi="Cambria"/>
          <w:i/>
          <w:iCs/>
          <w:noProof/>
        </w:rPr>
        <w:t>Nat. Geosci.</w:t>
      </w:r>
      <w:r w:rsidR="00527CDB" w:rsidRPr="00527CDB">
        <w:rPr>
          <w:rFonts w:ascii="Cambria" w:hAnsi="Cambria"/>
          <w:noProof/>
        </w:rPr>
        <w:t>, (March), 1–6, doi:10.1038/ngeo2671.</w:t>
      </w:r>
    </w:p>
    <w:p w14:paraId="3CB39571"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Focus, N. I. N. (2017), Astronomers explore uses for AI-generated images Hydrogen yet to prove it ’ s metal, </w:t>
      </w:r>
      <w:r w:rsidRPr="00527CDB">
        <w:rPr>
          <w:rFonts w:ascii="Cambria" w:hAnsi="Cambria"/>
          <w:i/>
          <w:iCs/>
          <w:noProof/>
        </w:rPr>
        <w:t>Nature</w:t>
      </w:r>
      <w:r w:rsidRPr="00527CDB">
        <w:rPr>
          <w:rFonts w:ascii="Cambria" w:hAnsi="Cambria"/>
          <w:noProof/>
        </w:rPr>
        <w:t>, 6–7.</w:t>
      </w:r>
    </w:p>
    <w:p w14:paraId="5078E71E"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Goodfellow, I. J., J. Pouget-Abadie, M. Mirza, B. Xu, D. Warde-Farley, S. Ozair, A. Courville, and Y. Bengio (2014), Generative Adversarial Networks, , 1–9.</w:t>
      </w:r>
    </w:p>
    <w:p w14:paraId="49474649"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LeCun, Y., Y. Bengio, and G. Hinton (2015), Deep learning, </w:t>
      </w:r>
      <w:r w:rsidRPr="00527CDB">
        <w:rPr>
          <w:rFonts w:ascii="Cambria" w:hAnsi="Cambria"/>
          <w:i/>
          <w:iCs/>
          <w:noProof/>
        </w:rPr>
        <w:t>Nature</w:t>
      </w:r>
      <w:r w:rsidRPr="00527CDB">
        <w:rPr>
          <w:rFonts w:ascii="Cambria" w:hAnsi="Cambria"/>
          <w:noProof/>
        </w:rPr>
        <w:t xml:space="preserve">, </w:t>
      </w:r>
      <w:r w:rsidRPr="00527CDB">
        <w:rPr>
          <w:rFonts w:ascii="Cambria" w:hAnsi="Cambria"/>
          <w:i/>
          <w:iCs/>
          <w:noProof/>
        </w:rPr>
        <w:t>521</w:t>
      </w:r>
      <w:r w:rsidRPr="00527CDB">
        <w:rPr>
          <w:rFonts w:ascii="Cambria" w:hAnsi="Cambria"/>
          <w:noProof/>
        </w:rPr>
        <w:t>(7553), 436–444, doi:10.1038/nature14539.</w:t>
      </w:r>
    </w:p>
    <w:p w14:paraId="4E6036EF"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Lenardic, A. (2017), PLATE TECTONICS A supercontinental boost, </w:t>
      </w:r>
      <w:r w:rsidRPr="00527CDB">
        <w:rPr>
          <w:rFonts w:ascii="Cambria" w:hAnsi="Cambria"/>
          <w:i/>
          <w:iCs/>
          <w:noProof/>
        </w:rPr>
        <w:t>Nat. Publ. Gr.</w:t>
      </w:r>
      <w:r w:rsidRPr="00527CDB">
        <w:rPr>
          <w:rFonts w:ascii="Cambria" w:hAnsi="Cambria"/>
          <w:noProof/>
        </w:rPr>
        <w:t xml:space="preserve">, </w:t>
      </w:r>
      <w:r w:rsidRPr="00527CDB">
        <w:rPr>
          <w:rFonts w:ascii="Cambria" w:hAnsi="Cambria"/>
          <w:i/>
          <w:iCs/>
          <w:noProof/>
        </w:rPr>
        <w:t>10</w:t>
      </w:r>
      <w:r w:rsidRPr="00527CDB">
        <w:rPr>
          <w:rFonts w:ascii="Cambria" w:hAnsi="Cambria"/>
          <w:noProof/>
        </w:rPr>
        <w:t>(1), 4–5, doi:10.1038/ngeo2862.</w:t>
      </w:r>
    </w:p>
    <w:p w14:paraId="5C28558D"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527CDB">
        <w:rPr>
          <w:rFonts w:ascii="Cambria" w:hAnsi="Cambria"/>
          <w:i/>
          <w:iCs/>
          <w:noProof/>
        </w:rPr>
        <w:t>Nature</w:t>
      </w:r>
      <w:r w:rsidRPr="00527CDB">
        <w:rPr>
          <w:rFonts w:ascii="Cambria" w:hAnsi="Cambria"/>
          <w:noProof/>
        </w:rPr>
        <w:t xml:space="preserve">, </w:t>
      </w:r>
      <w:r w:rsidRPr="00527CDB">
        <w:rPr>
          <w:rFonts w:ascii="Cambria" w:hAnsi="Cambria"/>
          <w:i/>
          <w:iCs/>
          <w:noProof/>
        </w:rPr>
        <w:t>472</w:t>
      </w:r>
      <w:r w:rsidRPr="00527CDB">
        <w:rPr>
          <w:rFonts w:ascii="Cambria" w:hAnsi="Cambria"/>
          <w:noProof/>
        </w:rPr>
        <w:t>(7344), 461–465, doi:10.1038/nature10001.</w:t>
      </w:r>
    </w:p>
    <w:p w14:paraId="1266DD30"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Long, M. D., A. Levander, and P. M. Shearer (2014), An introduction to the special issue of Earth and Planetary Science Letters on USArray science, </w:t>
      </w:r>
      <w:r w:rsidRPr="00527CDB">
        <w:rPr>
          <w:rFonts w:ascii="Cambria" w:hAnsi="Cambria"/>
          <w:i/>
          <w:iCs/>
          <w:noProof/>
        </w:rPr>
        <w:t>Earth Planet. Sci. Lett.</w:t>
      </w:r>
      <w:r w:rsidRPr="00527CDB">
        <w:rPr>
          <w:rFonts w:ascii="Cambria" w:hAnsi="Cambria"/>
          <w:noProof/>
        </w:rPr>
        <w:t xml:space="preserve">, </w:t>
      </w:r>
      <w:r w:rsidRPr="00527CDB">
        <w:rPr>
          <w:rFonts w:ascii="Cambria" w:hAnsi="Cambria"/>
          <w:i/>
          <w:iCs/>
          <w:noProof/>
        </w:rPr>
        <w:t>1</w:t>
      </w:r>
      <w:r w:rsidRPr="00527CDB">
        <w:rPr>
          <w:rFonts w:ascii="Cambria" w:hAnsi="Cambria"/>
          <w:noProof/>
        </w:rPr>
        <w:t>(September 2014), 1–5, doi:10.1016/j.epsl.2014.06.016.</w:t>
      </w:r>
    </w:p>
    <w:p w14:paraId="0F40418C"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Mishra, J. K., and R. G. Gordon (2016), The rigid-plate and shrinking-plate hypotheses: Implications for the azimuths of transform faults, </w:t>
      </w:r>
      <w:r w:rsidRPr="00527CDB">
        <w:rPr>
          <w:rFonts w:ascii="Cambria" w:hAnsi="Cambria"/>
          <w:i/>
          <w:iCs/>
          <w:noProof/>
        </w:rPr>
        <w:t>Tectonics</w:t>
      </w:r>
      <w:r w:rsidRPr="00527CDB">
        <w:rPr>
          <w:rFonts w:ascii="Cambria" w:hAnsi="Cambria"/>
          <w:noProof/>
        </w:rPr>
        <w:t xml:space="preserve">, </w:t>
      </w:r>
      <w:r w:rsidRPr="00527CDB">
        <w:rPr>
          <w:rFonts w:ascii="Cambria" w:hAnsi="Cambria"/>
          <w:i/>
          <w:iCs/>
          <w:noProof/>
        </w:rPr>
        <w:t>35</w:t>
      </w:r>
      <w:r w:rsidRPr="00527CDB">
        <w:rPr>
          <w:rFonts w:ascii="Cambria" w:hAnsi="Cambria"/>
          <w:noProof/>
        </w:rPr>
        <w:t>(8), 1827–1842, doi:10.1002/2015TC003968.</w:t>
      </w:r>
    </w:p>
    <w:p w14:paraId="2F1F59CC"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Niu, F., P. G. Silver, R. M. Nadeau, and T. V. McEvilly (2003), Migration of seismic scatterers associated with the 1993 Parkfield aseismic transient event, </w:t>
      </w:r>
      <w:r w:rsidRPr="00527CDB">
        <w:rPr>
          <w:rFonts w:ascii="Cambria" w:hAnsi="Cambria"/>
          <w:i/>
          <w:iCs/>
          <w:noProof/>
        </w:rPr>
        <w:t>Nature</w:t>
      </w:r>
      <w:r w:rsidRPr="00527CDB">
        <w:rPr>
          <w:rFonts w:ascii="Cambria" w:hAnsi="Cambria"/>
          <w:noProof/>
        </w:rPr>
        <w:t xml:space="preserve">, </w:t>
      </w:r>
      <w:r w:rsidRPr="00527CDB">
        <w:rPr>
          <w:rFonts w:ascii="Cambria" w:hAnsi="Cambria"/>
          <w:i/>
          <w:iCs/>
          <w:noProof/>
        </w:rPr>
        <w:t>426</w:t>
      </w:r>
      <w:r w:rsidRPr="00527CDB">
        <w:rPr>
          <w:rFonts w:ascii="Cambria" w:hAnsi="Cambria"/>
          <w:noProof/>
        </w:rPr>
        <w:t>(6966), 544–548, doi:10.1038/nature02151.</w:t>
      </w:r>
    </w:p>
    <w:p w14:paraId="60C4BAF4"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Ruano, A. E., G. Madureira, O. Barros, H. R. Khosravani, M. G. Ruano, and P. M. Ferreira (2014), Seismic detection using support vector machines, </w:t>
      </w:r>
      <w:r w:rsidRPr="00527CDB">
        <w:rPr>
          <w:rFonts w:ascii="Cambria" w:hAnsi="Cambria"/>
          <w:i/>
          <w:iCs/>
          <w:noProof/>
        </w:rPr>
        <w:t>Neurocomputing</w:t>
      </w:r>
      <w:r w:rsidRPr="00527CDB">
        <w:rPr>
          <w:rFonts w:ascii="Cambria" w:hAnsi="Cambria"/>
          <w:noProof/>
        </w:rPr>
        <w:t xml:space="preserve">, </w:t>
      </w:r>
      <w:r w:rsidRPr="00527CDB">
        <w:rPr>
          <w:rFonts w:ascii="Cambria" w:hAnsi="Cambria"/>
          <w:i/>
          <w:iCs/>
          <w:noProof/>
        </w:rPr>
        <w:t>135</w:t>
      </w:r>
      <w:r w:rsidRPr="00527CDB">
        <w:rPr>
          <w:rFonts w:ascii="Cambria" w:hAnsi="Cambria"/>
          <w:noProof/>
        </w:rPr>
        <w:t>(January), 273–283, doi:10.1016/j.neucom.2013.12.020.</w:t>
      </w:r>
    </w:p>
    <w:p w14:paraId="7645064B"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Shirzaei, M., W. L. Ellsworth, K. F. Tiampo, P. J. Gonzalez, and M. Manga (2016), Surface uplift and time-dependent seismic hazard due to fluid injection in eastern Texas, </w:t>
      </w:r>
      <w:r w:rsidRPr="00527CDB">
        <w:rPr>
          <w:rFonts w:ascii="Cambria" w:hAnsi="Cambria"/>
          <w:i/>
          <w:iCs/>
          <w:noProof/>
        </w:rPr>
        <w:t>Science (80-. ).</w:t>
      </w:r>
      <w:r w:rsidRPr="00527CDB">
        <w:rPr>
          <w:rFonts w:ascii="Cambria" w:hAnsi="Cambria"/>
          <w:noProof/>
        </w:rPr>
        <w:t xml:space="preserve">, </w:t>
      </w:r>
      <w:r w:rsidRPr="00527CDB">
        <w:rPr>
          <w:rFonts w:ascii="Cambria" w:hAnsi="Cambria"/>
          <w:i/>
          <w:iCs/>
          <w:noProof/>
        </w:rPr>
        <w:t>353</w:t>
      </w:r>
      <w:r w:rsidRPr="00527CDB">
        <w:rPr>
          <w:rFonts w:ascii="Cambria" w:hAnsi="Cambria"/>
          <w:noProof/>
        </w:rPr>
        <w:t>(6306), 1416–1419, doi:10.1126/science.aag0262.</w:t>
      </w:r>
    </w:p>
    <w:p w14:paraId="510F5B6A"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Taira, T., P. G. Silver, F. Niu, and R. M. Nadeau (2009), Remote triggering of fault-strength changes on the San Andreas fault at Parkfield, </w:t>
      </w:r>
      <w:r w:rsidRPr="00527CDB">
        <w:rPr>
          <w:rFonts w:ascii="Cambria" w:hAnsi="Cambria"/>
          <w:i/>
          <w:iCs/>
          <w:noProof/>
        </w:rPr>
        <w:t>Nature</w:t>
      </w:r>
      <w:r w:rsidRPr="00527CDB">
        <w:rPr>
          <w:rFonts w:ascii="Cambria" w:hAnsi="Cambria"/>
          <w:noProof/>
        </w:rPr>
        <w:t xml:space="preserve">, </w:t>
      </w:r>
      <w:r w:rsidRPr="00527CDB">
        <w:rPr>
          <w:rFonts w:ascii="Cambria" w:hAnsi="Cambria"/>
          <w:i/>
          <w:iCs/>
          <w:noProof/>
        </w:rPr>
        <w:t>461</w:t>
      </w:r>
      <w:r w:rsidRPr="00527CDB">
        <w:rPr>
          <w:rFonts w:ascii="Cambria" w:hAnsi="Cambria"/>
          <w:noProof/>
        </w:rPr>
        <w:t>(7264), 636–639, doi:10.1038/nature08395.</w:t>
      </w:r>
    </w:p>
    <w:p w14:paraId="5532C833"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Yoffie, D. B., and R. Kim (2009), E Ink in 2008, </w:t>
      </w:r>
      <w:r w:rsidRPr="00527CDB">
        <w:rPr>
          <w:rFonts w:ascii="Cambria" w:hAnsi="Cambria"/>
          <w:i/>
          <w:iCs/>
          <w:noProof/>
        </w:rPr>
        <w:t>Harv. Bus. Rev.</w:t>
      </w:r>
      <w:r w:rsidRPr="00527CDB">
        <w:rPr>
          <w:rFonts w:ascii="Cambria" w:hAnsi="Cambria"/>
          <w:noProof/>
        </w:rPr>
        <w:t>, (February), 1–5.</w:t>
      </w:r>
    </w:p>
    <w:p w14:paraId="18372C70"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lastRenderedPageBreak/>
        <w:t xml:space="preserve">Zheng, L., R. G. Gordon, and C. Kreemer (2014), Absolute plate velocities from seismic anisotropy: Importance of correlated errors, </w:t>
      </w:r>
      <w:r w:rsidRPr="00527CDB">
        <w:rPr>
          <w:rFonts w:ascii="Cambria" w:hAnsi="Cambria"/>
          <w:i/>
          <w:iCs/>
          <w:noProof/>
        </w:rPr>
        <w:t>J. Geophys. Res. Solid Earth</w:t>
      </w:r>
      <w:r w:rsidRPr="00527CDB">
        <w:rPr>
          <w:rFonts w:ascii="Cambria" w:hAnsi="Cambria"/>
          <w:noProof/>
        </w:rPr>
        <w:t xml:space="preserve">, </w:t>
      </w:r>
      <w:r w:rsidRPr="00527CDB">
        <w:rPr>
          <w:rFonts w:ascii="Cambria" w:hAnsi="Cambria"/>
          <w:i/>
          <w:iCs/>
          <w:noProof/>
        </w:rPr>
        <w:t>119</w:t>
      </w:r>
      <w:r w:rsidRPr="00527CDB">
        <w:rPr>
          <w:rFonts w:ascii="Cambria" w:hAnsi="Cambria"/>
          <w:noProof/>
        </w:rPr>
        <w:t>(9), 7336–7352, doi:10.1002/2013JB010902.</w:t>
      </w:r>
    </w:p>
    <w:p w14:paraId="45C987C7" w14:textId="5A98C32B" w:rsidR="000C1D18" w:rsidRDefault="000C1D18" w:rsidP="00527CDB">
      <w:pPr>
        <w:widowControl w:val="0"/>
        <w:autoSpaceDE w:val="0"/>
        <w:autoSpaceDN w:val="0"/>
        <w:adjustRightInd w:val="0"/>
        <w:ind w:left="480" w:hanging="480"/>
      </w:pPr>
      <w:r>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20C8B"/>
    <w:rsid w:val="00025C1B"/>
    <w:rsid w:val="00036FB5"/>
    <w:rsid w:val="00062CC0"/>
    <w:rsid w:val="00076F6D"/>
    <w:rsid w:val="000772F3"/>
    <w:rsid w:val="00094E22"/>
    <w:rsid w:val="000A4904"/>
    <w:rsid w:val="000A56F1"/>
    <w:rsid w:val="000C1D18"/>
    <w:rsid w:val="000C7DC6"/>
    <w:rsid w:val="00115224"/>
    <w:rsid w:val="001228C1"/>
    <w:rsid w:val="001249D8"/>
    <w:rsid w:val="00137AF6"/>
    <w:rsid w:val="001556CF"/>
    <w:rsid w:val="001801C0"/>
    <w:rsid w:val="001B4728"/>
    <w:rsid w:val="001C1ED1"/>
    <w:rsid w:val="002161BB"/>
    <w:rsid w:val="002300EB"/>
    <w:rsid w:val="0028094F"/>
    <w:rsid w:val="002D0734"/>
    <w:rsid w:val="002D0F80"/>
    <w:rsid w:val="002E0129"/>
    <w:rsid w:val="002E500A"/>
    <w:rsid w:val="00310C45"/>
    <w:rsid w:val="003171E5"/>
    <w:rsid w:val="00377555"/>
    <w:rsid w:val="00381EC0"/>
    <w:rsid w:val="00385095"/>
    <w:rsid w:val="003B03E6"/>
    <w:rsid w:val="003D0024"/>
    <w:rsid w:val="003D67D2"/>
    <w:rsid w:val="003E25ED"/>
    <w:rsid w:val="003F10A4"/>
    <w:rsid w:val="003F682B"/>
    <w:rsid w:val="00411E85"/>
    <w:rsid w:val="00430750"/>
    <w:rsid w:val="00463781"/>
    <w:rsid w:val="004827A9"/>
    <w:rsid w:val="004B71E6"/>
    <w:rsid w:val="00502AF3"/>
    <w:rsid w:val="0050345A"/>
    <w:rsid w:val="00527CDB"/>
    <w:rsid w:val="0054763B"/>
    <w:rsid w:val="0058013C"/>
    <w:rsid w:val="00590779"/>
    <w:rsid w:val="00595090"/>
    <w:rsid w:val="00595B44"/>
    <w:rsid w:val="005D4DD5"/>
    <w:rsid w:val="006044C4"/>
    <w:rsid w:val="006074CF"/>
    <w:rsid w:val="0063028C"/>
    <w:rsid w:val="006402B8"/>
    <w:rsid w:val="00643A10"/>
    <w:rsid w:val="006608E9"/>
    <w:rsid w:val="00667C5E"/>
    <w:rsid w:val="006D4323"/>
    <w:rsid w:val="006E592C"/>
    <w:rsid w:val="006F60B2"/>
    <w:rsid w:val="0070150D"/>
    <w:rsid w:val="00746C7B"/>
    <w:rsid w:val="00773882"/>
    <w:rsid w:val="00780D09"/>
    <w:rsid w:val="007930B2"/>
    <w:rsid w:val="007E27F4"/>
    <w:rsid w:val="0083037E"/>
    <w:rsid w:val="00887131"/>
    <w:rsid w:val="00897643"/>
    <w:rsid w:val="008C08E5"/>
    <w:rsid w:val="008F0C99"/>
    <w:rsid w:val="00926A18"/>
    <w:rsid w:val="00940474"/>
    <w:rsid w:val="0095192E"/>
    <w:rsid w:val="00967058"/>
    <w:rsid w:val="00995522"/>
    <w:rsid w:val="009B1D65"/>
    <w:rsid w:val="009D6DA1"/>
    <w:rsid w:val="009E1805"/>
    <w:rsid w:val="00A1105E"/>
    <w:rsid w:val="00A164FF"/>
    <w:rsid w:val="00A3597C"/>
    <w:rsid w:val="00A943BB"/>
    <w:rsid w:val="00AA5951"/>
    <w:rsid w:val="00AC7FFE"/>
    <w:rsid w:val="00AE229F"/>
    <w:rsid w:val="00B40898"/>
    <w:rsid w:val="00B50701"/>
    <w:rsid w:val="00B91029"/>
    <w:rsid w:val="00BA1FFA"/>
    <w:rsid w:val="00C012E6"/>
    <w:rsid w:val="00C02AE2"/>
    <w:rsid w:val="00C0427C"/>
    <w:rsid w:val="00C062BE"/>
    <w:rsid w:val="00C17349"/>
    <w:rsid w:val="00C22E78"/>
    <w:rsid w:val="00CA009D"/>
    <w:rsid w:val="00CA7BA7"/>
    <w:rsid w:val="00CD33A8"/>
    <w:rsid w:val="00D173E7"/>
    <w:rsid w:val="00D83FEC"/>
    <w:rsid w:val="00D866BD"/>
    <w:rsid w:val="00DC14FD"/>
    <w:rsid w:val="00DF42EC"/>
    <w:rsid w:val="00DF614D"/>
    <w:rsid w:val="00E83881"/>
    <w:rsid w:val="00E872B0"/>
    <w:rsid w:val="00E9370F"/>
    <w:rsid w:val="00E94863"/>
    <w:rsid w:val="00EC2E25"/>
    <w:rsid w:val="00F21D92"/>
    <w:rsid w:val="00F44BF9"/>
    <w:rsid w:val="00F4589A"/>
    <w:rsid w:val="00F942A5"/>
    <w:rsid w:val="00FB6F70"/>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6816</Words>
  <Characters>38855</Characters>
  <Application>Microsoft Macintosh Word</Application>
  <DocSecurity>0</DocSecurity>
  <Lines>323</Lines>
  <Paragraphs>91</Paragraphs>
  <ScaleCrop>false</ScaleCrop>
  <Company>UC Berkeley</Company>
  <LinksUpToDate>false</LinksUpToDate>
  <CharactersWithSpaces>45580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114</cp:revision>
  <dcterms:created xsi:type="dcterms:W3CDTF">2017-01-02T19:00:00Z</dcterms:created>
  <dcterms:modified xsi:type="dcterms:W3CDTF">2017-02-04T06:15:00Z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